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8CE6" w14:textId="42ACE158" w:rsidR="009B30EE" w:rsidRDefault="00370A98" w:rsidP="00AC7C21">
      <w:pPr>
        <w:spacing w:line="320" w:lineRule="exact"/>
        <w:jc w:val="center"/>
        <w:rPr>
          <w:b/>
          <w:bCs/>
        </w:rPr>
      </w:pPr>
      <w:r w:rsidRPr="009A6EFA">
        <w:rPr>
          <w:b/>
          <w:bCs/>
        </w:rPr>
        <w:t xml:space="preserve">THE TENNESSEE </w:t>
      </w:r>
      <w:r w:rsidR="00401452" w:rsidRPr="009A6EFA">
        <w:rPr>
          <w:b/>
          <w:bCs/>
        </w:rPr>
        <w:t>COURT OF CRIMINAL APPEALS</w:t>
      </w:r>
    </w:p>
    <w:p w14:paraId="41678D76" w14:textId="387CA3B1" w:rsidR="0053554E" w:rsidRPr="009A6EFA" w:rsidRDefault="0053554E" w:rsidP="00AC7C21">
      <w:pPr>
        <w:spacing w:line="320" w:lineRule="exact"/>
        <w:jc w:val="center"/>
      </w:pPr>
      <w:r>
        <w:rPr>
          <w:b/>
          <w:bCs/>
        </w:rPr>
        <w:t>September 2026 Docket – Western Section</w:t>
      </w:r>
    </w:p>
    <w:p w14:paraId="2B608CE8" w14:textId="5769AC41" w:rsidR="009B30EE" w:rsidRPr="009A6EFA" w:rsidRDefault="00B42BFD" w:rsidP="00AC7C21">
      <w:pPr>
        <w:spacing w:line="320" w:lineRule="exact"/>
        <w:jc w:val="center"/>
      </w:pPr>
      <w:r>
        <w:t xml:space="preserve">Case Summaries:  </w:t>
      </w:r>
      <w:r w:rsidR="00401452" w:rsidRPr="009A6EFA">
        <w:t>September 1, 2026</w:t>
      </w:r>
      <w:r>
        <w:t>, Morning Session</w:t>
      </w:r>
    </w:p>
    <w:p w14:paraId="38E89A09" w14:textId="29A0518E" w:rsidR="00AF370C" w:rsidRPr="00905D77" w:rsidRDefault="00AF370C" w:rsidP="00AC7C21">
      <w:pPr>
        <w:pStyle w:val="1CenteredMainHeading"/>
        <w:spacing w:line="320" w:lineRule="exact"/>
        <w:rPr>
          <w:i w:val="0"/>
          <w:iCs w:val="0"/>
        </w:rPr>
      </w:pPr>
      <w:r w:rsidRPr="009A6EFA">
        <w:t xml:space="preserve">State v. Cameron </w:t>
      </w:r>
      <w:r>
        <w:t>T</w:t>
      </w:r>
      <w:r w:rsidRPr="009A6EFA">
        <w:t>aylor</w:t>
      </w:r>
      <w:r w:rsidR="00401452" w:rsidRPr="00905D77">
        <w:rPr>
          <w:i w:val="0"/>
          <w:iCs w:val="0"/>
        </w:rPr>
        <w:t xml:space="preserve">, </w:t>
      </w:r>
      <w:r w:rsidR="00905D77" w:rsidRPr="00905D77">
        <w:rPr>
          <w:i w:val="0"/>
          <w:iCs w:val="0"/>
        </w:rPr>
        <w:t>N</w:t>
      </w:r>
      <w:r w:rsidRPr="00905D77">
        <w:rPr>
          <w:i w:val="0"/>
          <w:iCs w:val="0"/>
        </w:rPr>
        <w:t>o</w:t>
      </w:r>
      <w:r w:rsidR="00401452" w:rsidRPr="00905D77">
        <w:rPr>
          <w:i w:val="0"/>
          <w:iCs w:val="0"/>
        </w:rPr>
        <w:t>. W2025-00953-CCA-R3-CD</w:t>
      </w:r>
    </w:p>
    <w:p w14:paraId="49FBA0B5" w14:textId="44092D51" w:rsidR="00AF370C" w:rsidRDefault="00AC7C21" w:rsidP="00AC7C21">
      <w:pPr>
        <w:pStyle w:val="2TCGHeading2"/>
        <w:spacing w:line="320" w:lineRule="exact"/>
      </w:pPr>
      <w:r>
        <w:t>Lawyers Involved</w:t>
      </w:r>
    </w:p>
    <w:p w14:paraId="67F78D01" w14:textId="218E7AB1" w:rsidR="00AF370C" w:rsidRPr="00AF370C" w:rsidRDefault="00982B4E">
      <w:pPr>
        <w:pStyle w:val="ListParagraph"/>
        <w:numPr>
          <w:ilvl w:val="0"/>
          <w:numId w:val="16"/>
        </w:numPr>
        <w:spacing w:before="320" w:after="80" w:line="320" w:lineRule="exact"/>
        <w:ind w:left="1800"/>
        <w:rPr>
          <w:b/>
          <w:bCs/>
        </w:rPr>
      </w:pPr>
      <w:r w:rsidRPr="009A6EFA">
        <w:t>Terrell L. Tooten (for the Defendant</w:t>
      </w:r>
      <w:r w:rsidR="00A93E2C">
        <w:t>)</w:t>
      </w:r>
      <w:r w:rsidR="00382BCA" w:rsidRPr="009A6EFA">
        <w:t xml:space="preserve"> </w:t>
      </w:r>
    </w:p>
    <w:p w14:paraId="32489B92" w14:textId="7FD34B2A" w:rsidR="00A41DFB" w:rsidRPr="00AF370C" w:rsidRDefault="00382BCA">
      <w:pPr>
        <w:pStyle w:val="ListParagraph"/>
        <w:numPr>
          <w:ilvl w:val="0"/>
          <w:numId w:val="16"/>
        </w:numPr>
        <w:spacing w:before="320" w:after="80" w:line="320" w:lineRule="exact"/>
        <w:ind w:left="1800"/>
        <w:rPr>
          <w:b/>
          <w:bCs/>
        </w:rPr>
      </w:pPr>
      <w:r w:rsidRPr="009A6EFA">
        <w:t>Ryan W. Davis, Assistant Attorney General (for the State)</w:t>
      </w:r>
    </w:p>
    <w:p w14:paraId="2B608CEA" w14:textId="77777777" w:rsidR="009B30EE" w:rsidRPr="009A6EFA" w:rsidRDefault="00401452" w:rsidP="00AC7C21">
      <w:pPr>
        <w:pStyle w:val="2TCGHeading2"/>
        <w:spacing w:line="320" w:lineRule="exact"/>
      </w:pPr>
      <w:r w:rsidRPr="009A6EFA">
        <w:t>Issues Presented</w:t>
      </w:r>
    </w:p>
    <w:p w14:paraId="68159C4B" w14:textId="7DB50258" w:rsidR="0047657F" w:rsidRDefault="0047657F">
      <w:pPr>
        <w:pStyle w:val="ListParagraph"/>
        <w:numPr>
          <w:ilvl w:val="0"/>
          <w:numId w:val="86"/>
        </w:numPr>
        <w:spacing w:after="40" w:line="320" w:lineRule="exact"/>
        <w:ind w:left="1800"/>
        <w:jc w:val="both"/>
      </w:pPr>
      <w:r>
        <w:t>Whether the trial court erred in denying the Defendant’s motion to suppress his statements</w:t>
      </w:r>
      <w:r w:rsidR="001536FF">
        <w:t xml:space="preserve"> taken in alleged violation of </w:t>
      </w:r>
      <w:r w:rsidR="001536FF" w:rsidRPr="001536FF">
        <w:rPr>
          <w:i/>
          <w:iCs/>
        </w:rPr>
        <w:t>Miranda v. Arizona</w:t>
      </w:r>
      <w:r>
        <w:t xml:space="preserve"> and any derivative evidence.</w:t>
      </w:r>
    </w:p>
    <w:p w14:paraId="5145539C" w14:textId="77777777" w:rsidR="0047657F" w:rsidRDefault="0047657F" w:rsidP="0047657F">
      <w:pPr>
        <w:pStyle w:val="ListParagraph"/>
        <w:spacing w:after="40" w:line="320" w:lineRule="exact"/>
        <w:ind w:left="1800"/>
        <w:jc w:val="both"/>
      </w:pPr>
    </w:p>
    <w:p w14:paraId="2B608CEC" w14:textId="1A46732C" w:rsidR="009B30EE" w:rsidRPr="009A6EFA" w:rsidRDefault="0047657F">
      <w:pPr>
        <w:pStyle w:val="ListParagraph"/>
        <w:numPr>
          <w:ilvl w:val="0"/>
          <w:numId w:val="86"/>
        </w:numPr>
        <w:spacing w:after="40" w:line="320" w:lineRule="exact"/>
        <w:ind w:left="1800"/>
        <w:jc w:val="both"/>
      </w:pPr>
      <w:r>
        <w:t>Whether the trial court erred in admitting testimony concerning the hospital statement following the allegedly delayed disclosure</w:t>
      </w:r>
      <w:r w:rsidR="00401452" w:rsidRPr="009A6EFA">
        <w:t>.</w:t>
      </w:r>
    </w:p>
    <w:p w14:paraId="5306873E" w14:textId="77777777" w:rsidR="009A6EFA" w:rsidRPr="009A6EFA" w:rsidRDefault="009A6EFA" w:rsidP="00AC7C21">
      <w:pPr>
        <w:pStyle w:val="2TCGHeading2"/>
        <w:spacing w:line="320" w:lineRule="exact"/>
      </w:pPr>
      <w:r w:rsidRPr="009A6EFA">
        <w:t>Factual Background</w:t>
      </w:r>
    </w:p>
    <w:p w14:paraId="210535E3" w14:textId="55711336" w:rsidR="000100BA" w:rsidRDefault="00401452" w:rsidP="00AC7C21">
      <w:pPr>
        <w:pStyle w:val="AOpinionTextStyle"/>
      </w:pPr>
      <w:r w:rsidRPr="009A6EFA">
        <w:t>The Defendant was convicted in the Weakley County Circuit Court of aggravated burglary, unlawful possession of a firearm, possession of a firearm during the commission of a dangerous felony, and theft</w:t>
      </w:r>
      <w:r w:rsidR="00715F02">
        <w:t xml:space="preserve">.  </w:t>
      </w:r>
      <w:r w:rsidRPr="009A6EFA">
        <w:t xml:space="preserve">The proof showed that a homeowner returned home and discovered the Defendant inside her residence. </w:t>
      </w:r>
    </w:p>
    <w:p w14:paraId="3C38ACE3" w14:textId="4F6DD9B7" w:rsidR="000100BA" w:rsidRDefault="00401452" w:rsidP="00AC7C21">
      <w:pPr>
        <w:pStyle w:val="AOpinionTextStyle"/>
      </w:pPr>
      <w:r w:rsidRPr="009A6EFA">
        <w:t>After the Defendant exited the home and entered his vehicle, law enforcement arrived and asked whether he had a weapon</w:t>
      </w:r>
      <w:r w:rsidR="00715F02">
        <w:t xml:space="preserve">.  </w:t>
      </w:r>
      <w:r w:rsidRPr="009A6EFA">
        <w:t xml:space="preserve">The Defendant acknowledged that a gun was inside the vehicle, and officers recovered a loaded handgun and property belonging to the homeowner. </w:t>
      </w:r>
    </w:p>
    <w:p w14:paraId="2B608CED" w14:textId="64F1B8DF" w:rsidR="009B30EE" w:rsidRDefault="00401452" w:rsidP="00AC7C21">
      <w:pPr>
        <w:pStyle w:val="AOpinionTextStyle"/>
      </w:pPr>
      <w:r w:rsidRPr="009A6EFA">
        <w:t xml:space="preserve">After receiving warnings pursuant to </w:t>
      </w:r>
      <w:r w:rsidRPr="009A6EFA">
        <w:rPr>
          <w:i/>
          <w:iCs/>
        </w:rPr>
        <w:t>Miranda v. Arizona</w:t>
      </w:r>
      <w:r w:rsidRPr="009A6EFA">
        <w:t>, 384 U.S. 436 (1966), the Defendant made additional statements about his presence in the home</w:t>
      </w:r>
      <w:r w:rsidR="00715F02">
        <w:t xml:space="preserve">.  </w:t>
      </w:r>
      <w:r w:rsidR="00002054" w:rsidRPr="00002054">
        <w:t>An officer testified that, while at the hospital, the Defendant said that he “should have just shot” the homeowner</w:t>
      </w:r>
      <w:r w:rsidR="00715F02">
        <w:t xml:space="preserve">.  </w:t>
      </w:r>
      <w:r w:rsidRPr="009A6EFA">
        <w:t>The trial court imposed an effective sentence of forty-two years.</w:t>
      </w:r>
    </w:p>
    <w:p w14:paraId="5424420F" w14:textId="71788DB9" w:rsidR="00AF370C" w:rsidRPr="009A6EFA" w:rsidRDefault="00AF370C" w:rsidP="00AC7C21">
      <w:pPr>
        <w:pStyle w:val="2TCGHeading2"/>
        <w:spacing w:line="320" w:lineRule="exact"/>
      </w:pPr>
      <w:r>
        <w:lastRenderedPageBreak/>
        <w:t>Arguments</w:t>
      </w:r>
    </w:p>
    <w:p w14:paraId="2B608CEE" w14:textId="77777777" w:rsidR="009B30EE" w:rsidRPr="009A6EFA" w:rsidRDefault="00401452" w:rsidP="00AC7C21">
      <w:pPr>
        <w:pStyle w:val="Heading3"/>
        <w:spacing w:line="320" w:lineRule="exact"/>
      </w:pPr>
      <w:r w:rsidRPr="009A6EFA">
        <w:t xml:space="preserve">Issue One: Suppression of </w:t>
      </w:r>
      <w:r w:rsidRPr="00AF370C">
        <w:t>Statements</w:t>
      </w:r>
    </w:p>
    <w:p w14:paraId="2B608CEF" w14:textId="077835A0" w:rsidR="009B30EE" w:rsidRDefault="00401452">
      <w:pPr>
        <w:pStyle w:val="ListParagraph"/>
        <w:numPr>
          <w:ilvl w:val="0"/>
          <w:numId w:val="18"/>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 xml:space="preserve">The Defendant argues that the trial court should have suppressed his statements and any evidence derived from them. </w:t>
      </w:r>
      <w:r w:rsidR="007A2BA4" w:rsidRPr="009A6EFA">
        <w:t xml:space="preserve"> </w:t>
      </w:r>
      <w:r w:rsidRPr="009A6EFA">
        <w:t xml:space="preserve">He contends that his initial admission about the firearm resulted from custodial interrogation conducted without proper </w:t>
      </w:r>
      <w:r w:rsidRPr="009A6EFA">
        <w:rPr>
          <w:i/>
          <w:iCs/>
        </w:rPr>
        <w:t>Miranda</w:t>
      </w:r>
      <w:r w:rsidRPr="009A6EFA">
        <w:t xml:space="preserve"> warnings. </w:t>
      </w:r>
      <w:r w:rsidR="007A2BA4" w:rsidRPr="009A6EFA">
        <w:t xml:space="preserve"> </w:t>
      </w:r>
      <w:r w:rsidRPr="009A6EFA">
        <w:t>He further asserts that his subsequent waiver and statements were not knowing and voluntary because he was visibly impaired.</w:t>
      </w:r>
    </w:p>
    <w:p w14:paraId="53C86A3E" w14:textId="77777777" w:rsidR="00CE78DA" w:rsidRPr="009A6EFA" w:rsidRDefault="00CE78DA" w:rsidP="00AC7C21">
      <w:pPr>
        <w:pStyle w:val="ListParagraph"/>
        <w:spacing w:after="100" w:line="320" w:lineRule="exact"/>
        <w:ind w:left="2520"/>
        <w:jc w:val="both"/>
      </w:pPr>
    </w:p>
    <w:p w14:paraId="2B608CF0" w14:textId="11AE9E42" w:rsidR="009B30EE" w:rsidRPr="009A6EFA" w:rsidRDefault="00401452">
      <w:pPr>
        <w:pStyle w:val="ListParagraph"/>
        <w:numPr>
          <w:ilvl w:val="0"/>
          <w:numId w:val="18"/>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responds that the suppression claims are waived because the Defendant failed to include the transcript of an earlier suppression hearing in the appellate record</w:t>
      </w:r>
      <w:r w:rsidR="00715F02">
        <w:t xml:space="preserve">.  </w:t>
      </w:r>
      <w:r w:rsidRPr="009A6EFA">
        <w:t>On the merits, the State argues that the initial question about weapons did not constitute custodial interrogation or, alternatively, fell within the public-safety exception</w:t>
      </w:r>
      <w:r w:rsidR="00715F02">
        <w:t xml:space="preserve">.  </w:t>
      </w:r>
      <w:r w:rsidRPr="009A6EFA">
        <w:t xml:space="preserve">It also maintains that the Defendant knowingly and voluntarily waived his </w:t>
      </w:r>
      <w:r w:rsidRPr="009A6EFA">
        <w:rPr>
          <w:i/>
          <w:iCs/>
        </w:rPr>
        <w:t>Miranda</w:t>
      </w:r>
      <w:r w:rsidRPr="009A6EFA">
        <w:t xml:space="preserve"> rights and that his hospital statement was spontaneous rather than the product of interrogation.</w:t>
      </w:r>
    </w:p>
    <w:p w14:paraId="2B608CF1" w14:textId="77777777" w:rsidR="009B30EE" w:rsidRPr="009A6EFA" w:rsidRDefault="00401452" w:rsidP="00AC7C21">
      <w:pPr>
        <w:pStyle w:val="Heading3"/>
        <w:spacing w:line="320" w:lineRule="exact"/>
      </w:pPr>
      <w:r w:rsidRPr="009A6EFA">
        <w:t>Issue Two: Admission of the Hospital Statement</w:t>
      </w:r>
    </w:p>
    <w:p w14:paraId="05ABC2AB" w14:textId="77777777" w:rsidR="00AF370C" w:rsidRDefault="00401452">
      <w:pPr>
        <w:pStyle w:val="ListParagraph"/>
        <w:keepNext/>
        <w:numPr>
          <w:ilvl w:val="0"/>
          <w:numId w:val="17"/>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The Defendant argues that the trial court should not have permitted testimony about his hospital statement because his current counsel did not receive notice of it until immediately before trial</w:t>
      </w:r>
      <w:r w:rsidR="00715F02">
        <w:t xml:space="preserve">.  </w:t>
      </w:r>
      <w:r w:rsidRPr="009A6EFA">
        <w:t xml:space="preserve">He characterizes the delayed disclosure as a violation of </w:t>
      </w:r>
      <w:r w:rsidRPr="009A6EFA">
        <w:rPr>
          <w:i/>
          <w:iCs/>
        </w:rPr>
        <w:t>Brady v. Maryland</w:t>
      </w:r>
      <w:r w:rsidRPr="009A6EFA">
        <w:t>, 373 U.S. 83 (1963), and Tennessee Rule of Criminal Procedure 16.</w:t>
      </w:r>
    </w:p>
    <w:p w14:paraId="11995E43" w14:textId="77777777" w:rsidR="00CE78DA" w:rsidRDefault="00CE78DA" w:rsidP="00AC7C21">
      <w:pPr>
        <w:pStyle w:val="ListParagraph"/>
        <w:keepNext/>
        <w:spacing w:after="100" w:line="320" w:lineRule="exact"/>
        <w:ind w:left="2520"/>
        <w:jc w:val="both"/>
      </w:pPr>
    </w:p>
    <w:p w14:paraId="2B608CF3" w14:textId="6ED1E785" w:rsidR="009B30EE" w:rsidRPr="009A6EFA" w:rsidRDefault="00401452">
      <w:pPr>
        <w:pStyle w:val="ListParagraph"/>
        <w:keepNext/>
        <w:numPr>
          <w:ilvl w:val="0"/>
          <w:numId w:val="19"/>
        </w:numPr>
        <w:spacing w:after="100" w:line="320" w:lineRule="exact"/>
        <w:ind w:left="2520"/>
        <w:jc w:val="both"/>
      </w:pPr>
      <w:r w:rsidRPr="00AF370C">
        <w:rPr>
          <w:b/>
          <w:bCs/>
        </w:rPr>
        <w:t>State</w:t>
      </w:r>
      <w:r w:rsidR="007A2BA4" w:rsidRPr="00AF370C">
        <w:rPr>
          <w:b/>
          <w:bCs/>
        </w:rPr>
        <w:t>’</w:t>
      </w:r>
      <w:r w:rsidRPr="00AF370C">
        <w:rPr>
          <w:b/>
          <w:bCs/>
        </w:rPr>
        <w:t xml:space="preserve">s Response: </w:t>
      </w:r>
      <w:r w:rsidRPr="009A6EFA">
        <w:t>The State responds that the Brady claim is waived and, in any event, fails because the inculpatory statement was neither favorable nor suppressed and had previously been disclosed to the Defendant</w:t>
      </w:r>
      <w:r w:rsidR="007A2BA4" w:rsidRPr="009A6EFA">
        <w:t>’</w:t>
      </w:r>
      <w:r w:rsidRPr="009A6EFA">
        <w:t>s former attorneys</w:t>
      </w:r>
      <w:r w:rsidR="00715F02">
        <w:t xml:space="preserve">.  </w:t>
      </w:r>
      <w:r w:rsidRPr="009A6EFA">
        <w:t>The State also argues that Rule 16 did not require disclosure because the statement was volunteered rather than elicited in response to interrogation, yet it disclosed it before trial.</w:t>
      </w:r>
    </w:p>
    <w:p w14:paraId="6235CF1F" w14:textId="77777777" w:rsidR="009A6EFA" w:rsidRDefault="009A6EFA" w:rsidP="00AC7C21">
      <w:pPr>
        <w:spacing w:line="320" w:lineRule="exact"/>
        <w:rPr>
          <w:b/>
          <w:bCs/>
          <w:i/>
          <w:iCs/>
        </w:rPr>
      </w:pPr>
      <w:r>
        <w:rPr>
          <w:b/>
          <w:bCs/>
          <w:i/>
          <w:iCs/>
        </w:rPr>
        <w:br w:type="page"/>
      </w:r>
    </w:p>
    <w:p w14:paraId="78D634B7" w14:textId="1B6CB13F" w:rsidR="00AF370C" w:rsidRPr="00DF2240" w:rsidRDefault="00AF370C" w:rsidP="00AC7C21">
      <w:pPr>
        <w:pStyle w:val="1CenteredMainHeading"/>
        <w:spacing w:line="320" w:lineRule="exact"/>
        <w:rPr>
          <w:i w:val="0"/>
          <w:iCs w:val="0"/>
        </w:rPr>
      </w:pPr>
      <w:r w:rsidRPr="009A6EFA">
        <w:lastRenderedPageBreak/>
        <w:t xml:space="preserve">State v. Bobbie </w:t>
      </w:r>
      <w:r>
        <w:t>D</w:t>
      </w:r>
      <w:r w:rsidRPr="009A6EFA">
        <w:t>elk</w:t>
      </w:r>
      <w:r w:rsidRPr="00DF2240">
        <w:rPr>
          <w:i w:val="0"/>
          <w:iCs w:val="0"/>
        </w:rPr>
        <w:t>, No</w:t>
      </w:r>
      <w:r w:rsidR="00401452" w:rsidRPr="00DF2240">
        <w:rPr>
          <w:i w:val="0"/>
          <w:iCs w:val="0"/>
        </w:rPr>
        <w:t>. W2025-01158-CCA-R3-CD</w:t>
      </w:r>
    </w:p>
    <w:p w14:paraId="54B2E9D4" w14:textId="6F6DC61F" w:rsidR="00AF370C" w:rsidRDefault="00AC7C21">
      <w:pPr>
        <w:pStyle w:val="2TCGHeading2"/>
        <w:numPr>
          <w:ilvl w:val="0"/>
          <w:numId w:val="20"/>
        </w:numPr>
        <w:spacing w:after="480" w:line="320" w:lineRule="exact"/>
        <w:ind w:left="1440" w:hanging="720"/>
      </w:pPr>
      <w:r>
        <w:t>Lawyers Involved</w:t>
      </w:r>
    </w:p>
    <w:p w14:paraId="3F2AE25F" w14:textId="5DFD72DB" w:rsidR="00AF370C" w:rsidRDefault="00980CF2">
      <w:pPr>
        <w:pStyle w:val="ListParagraph"/>
        <w:numPr>
          <w:ilvl w:val="0"/>
          <w:numId w:val="22"/>
        </w:numPr>
        <w:spacing w:before="320" w:after="80" w:line="320" w:lineRule="exact"/>
        <w:ind w:left="1800"/>
      </w:pPr>
      <w:r w:rsidRPr="009A6EFA">
        <w:t>Raven Prean-Morris, Assistant Public Defender – Appellate Division (for the Defendant</w:t>
      </w:r>
      <w:r w:rsidR="00A93E2C">
        <w:t>)</w:t>
      </w:r>
      <w:r w:rsidRPr="009A6EFA">
        <w:t xml:space="preserve"> </w:t>
      </w:r>
    </w:p>
    <w:p w14:paraId="2B608CF4" w14:textId="6E22913E" w:rsidR="009B30EE" w:rsidRPr="009A6EFA" w:rsidRDefault="00980CF2">
      <w:pPr>
        <w:pStyle w:val="ListParagraph"/>
        <w:numPr>
          <w:ilvl w:val="0"/>
          <w:numId w:val="22"/>
        </w:numPr>
        <w:spacing w:before="320" w:after="80" w:line="320" w:lineRule="exact"/>
        <w:ind w:left="1800"/>
      </w:pPr>
      <w:r w:rsidRPr="009A6EFA">
        <w:t>Ryan W. Davis, Assistant Attorney General (for the State)</w:t>
      </w:r>
    </w:p>
    <w:p w14:paraId="2B608CF5" w14:textId="77777777" w:rsidR="009B30EE" w:rsidRPr="009A6EFA" w:rsidRDefault="00401452" w:rsidP="00AC7C21">
      <w:pPr>
        <w:pStyle w:val="2TCGHeading2"/>
        <w:spacing w:line="320" w:lineRule="exact"/>
      </w:pPr>
      <w:r w:rsidRPr="009A6EFA">
        <w:t>Issues Presented</w:t>
      </w:r>
    </w:p>
    <w:p w14:paraId="2B608CF6" w14:textId="77777777" w:rsidR="009B30EE" w:rsidRPr="009A6EFA" w:rsidRDefault="00401452">
      <w:pPr>
        <w:pStyle w:val="AOpinionTextStyle"/>
        <w:numPr>
          <w:ilvl w:val="0"/>
          <w:numId w:val="23"/>
        </w:numPr>
        <w:ind w:left="1800"/>
      </w:pPr>
      <w:r w:rsidRPr="009A6EFA">
        <w:t>Whether the evidence was sufficient to support the aggravated kidnapping conviction.</w:t>
      </w:r>
    </w:p>
    <w:p w14:paraId="2B608CF7" w14:textId="77777777" w:rsidR="009B30EE" w:rsidRPr="009A6EFA" w:rsidRDefault="00401452">
      <w:pPr>
        <w:pStyle w:val="AOpinionTextStyle"/>
        <w:numPr>
          <w:ilvl w:val="0"/>
          <w:numId w:val="23"/>
        </w:numPr>
        <w:ind w:left="1800"/>
      </w:pPr>
      <w:r w:rsidRPr="009A6EFA">
        <w:t>Whether the evidence was sufficient to support the especially aggravated robbery conviction.</w:t>
      </w:r>
    </w:p>
    <w:p w14:paraId="075DC44C" w14:textId="5FAFD748" w:rsidR="009A6EFA" w:rsidRPr="009A6EFA" w:rsidRDefault="009A6EFA" w:rsidP="00AC7C21">
      <w:pPr>
        <w:pStyle w:val="2TCGHeading2"/>
        <w:spacing w:line="320" w:lineRule="exact"/>
      </w:pPr>
      <w:r w:rsidRPr="009A6EFA">
        <w:t>Factual Background</w:t>
      </w:r>
    </w:p>
    <w:p w14:paraId="61A2AA1F" w14:textId="64D67622" w:rsidR="000100BA" w:rsidRDefault="00401452" w:rsidP="00AC7C21">
      <w:pPr>
        <w:pStyle w:val="AOpinionTextStyle"/>
      </w:pPr>
      <w:r w:rsidRPr="009A6EFA">
        <w:t>The Defendant was convicted in the Henderson County Circuit Court of reckless endangerment, aggravated kidnapping, and especially aggravated robbery following an incident involving her former husband, Tony Delk</w:t>
      </w:r>
      <w:r w:rsidR="00715F02">
        <w:t xml:space="preserve">.  </w:t>
      </w:r>
      <w:r w:rsidR="006456AF" w:rsidRPr="006456AF">
        <w:t>The Defendant had recently learned that the parties’ divorce was final and had used drugs. While she possessed Mr. Delk’s pistol, the weapon discharged and struck him in the head.</w:t>
      </w:r>
      <w:r w:rsidR="006456AF">
        <w:t xml:space="preserve">  </w:t>
      </w:r>
      <w:r w:rsidR="006456AF" w:rsidRPr="006456AF">
        <w:t>The Defendant maintained that the discharge was accidental and occurred while she was preparing to take her own life.</w:t>
      </w:r>
    </w:p>
    <w:p w14:paraId="46FF2637" w14:textId="2997EA2C" w:rsidR="000100BA" w:rsidRDefault="00401452" w:rsidP="00AC7C21">
      <w:pPr>
        <w:pStyle w:val="AOpinionTextStyle"/>
      </w:pPr>
      <w:r w:rsidRPr="009A6EFA">
        <w:t>The Defendant maintained that the shooting was accidental and occurred while she was preparing to take her own life</w:t>
      </w:r>
      <w:r w:rsidR="00715F02">
        <w:t xml:space="preserve">.  </w:t>
      </w:r>
      <w:r w:rsidRPr="009A6EFA">
        <w:t>Mr. Delk remained in the basement with the Defendant for two or three hours while she possessed the gun and the parties</w:t>
      </w:r>
      <w:r w:rsidR="007A2BA4" w:rsidRPr="009A6EFA">
        <w:t>’</w:t>
      </w:r>
      <w:r w:rsidRPr="009A6EFA">
        <w:t xml:space="preserve"> telephones</w:t>
      </w:r>
      <w:r w:rsidR="00715F02">
        <w:t xml:space="preserve">.  </w:t>
      </w:r>
      <w:r w:rsidRPr="009A6EFA">
        <w:t xml:space="preserve">After Mr. Delk drove himself to the hospital, the Defendant left in his SUV with the pistol. </w:t>
      </w:r>
    </w:p>
    <w:p w14:paraId="2B608CF8" w14:textId="47208E47" w:rsidR="009B30EE" w:rsidRPr="009A6EFA" w:rsidRDefault="00401452" w:rsidP="00AC7C21">
      <w:pPr>
        <w:pStyle w:val="AOpinionTextStyle"/>
      </w:pPr>
      <w:r w:rsidRPr="009A6EFA">
        <w:t>The trial court imposed concurrent sentences of eight years for aggravated kidnapping and twenty-five years for especially aggravated robbery.</w:t>
      </w:r>
    </w:p>
    <w:p w14:paraId="193B2FD2" w14:textId="1334D489" w:rsidR="00AF370C" w:rsidRDefault="00AF370C" w:rsidP="00AC7C21">
      <w:pPr>
        <w:pStyle w:val="2TCGHeading2"/>
        <w:spacing w:line="320" w:lineRule="exact"/>
      </w:pPr>
      <w:r>
        <w:lastRenderedPageBreak/>
        <w:t>Arguments</w:t>
      </w:r>
    </w:p>
    <w:p w14:paraId="2B608CF9" w14:textId="6105091B" w:rsidR="009B30EE" w:rsidRPr="009A6EFA" w:rsidRDefault="00401452">
      <w:pPr>
        <w:pStyle w:val="Heading3"/>
        <w:numPr>
          <w:ilvl w:val="0"/>
          <w:numId w:val="24"/>
        </w:numPr>
        <w:spacing w:line="320" w:lineRule="exact"/>
        <w:ind w:hanging="720"/>
      </w:pPr>
      <w:r w:rsidRPr="009A6EFA">
        <w:t>Issue One: Sufficiency of the Evidence</w:t>
      </w:r>
      <w:r w:rsidR="007A2BA4" w:rsidRPr="009A6EFA">
        <w:t>—</w:t>
      </w:r>
      <w:r w:rsidRPr="009A6EFA">
        <w:t>Aggravated Kidnapping</w:t>
      </w:r>
    </w:p>
    <w:p w14:paraId="2B608CFA" w14:textId="10F7B652" w:rsidR="009B30EE" w:rsidRDefault="00401452">
      <w:pPr>
        <w:pStyle w:val="ListParagraph"/>
        <w:keepNext/>
        <w:numPr>
          <w:ilvl w:val="0"/>
          <w:numId w:val="21"/>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The Defendant challenges the sufficiency of the evidence supporting the aggravated kidnapping conviction</w:t>
      </w:r>
      <w:r w:rsidR="00715F02">
        <w:t xml:space="preserve">.  </w:t>
      </w:r>
      <w:r w:rsidRPr="009A6EFA">
        <w:t>She argues that she did not knowingly confine Mr. Delk through force, threat, or fraud because she never pointed the gun at him or threatened him, and his principal fear arose from her suicide attempts</w:t>
      </w:r>
      <w:r w:rsidR="00715F02">
        <w:t xml:space="preserve">.  </w:t>
      </w:r>
      <w:r w:rsidRPr="009A6EFA">
        <w:t>Alternatively, she argues that any confinement was merely incidental to the conduct underlying her reckless-endangerment conviction.</w:t>
      </w:r>
    </w:p>
    <w:p w14:paraId="55E16E72" w14:textId="77777777" w:rsidR="00CE78DA" w:rsidRPr="009A6EFA" w:rsidRDefault="00CE78DA" w:rsidP="00AC7C21">
      <w:pPr>
        <w:pStyle w:val="ListParagraph"/>
        <w:spacing w:after="100" w:line="320" w:lineRule="exact"/>
        <w:ind w:left="2520"/>
        <w:jc w:val="both"/>
      </w:pPr>
    </w:p>
    <w:p w14:paraId="2B608CFB" w14:textId="258C5D46" w:rsidR="009B30EE" w:rsidRPr="009A6EFA" w:rsidRDefault="00401452">
      <w:pPr>
        <w:pStyle w:val="ListParagraph"/>
        <w:numPr>
          <w:ilvl w:val="0"/>
          <w:numId w:val="25"/>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responds that the Defendant confined Mr. Delk by shooting and striking him, retaining the gun and telephones, refusing his request to obtain medical treatment, and preventing him from leaving for several hours</w:t>
      </w:r>
      <w:r w:rsidR="00715F02">
        <w:t xml:space="preserve">.  </w:t>
      </w:r>
      <w:r w:rsidRPr="009A6EFA">
        <w:t>It further argues that this confinement was separate from and exceeded the conduct necessary to commit reckless endangerment.</w:t>
      </w:r>
    </w:p>
    <w:p w14:paraId="2B608CFC" w14:textId="023843C9" w:rsidR="009B30EE" w:rsidRPr="009A6EFA" w:rsidRDefault="00401452" w:rsidP="00AC7C21">
      <w:pPr>
        <w:pStyle w:val="Heading3"/>
        <w:spacing w:line="320" w:lineRule="exact"/>
      </w:pPr>
      <w:r w:rsidRPr="009A6EFA">
        <w:t>Issue Two: Sufficiency of the Evidence</w:t>
      </w:r>
      <w:r w:rsidR="007A2BA4" w:rsidRPr="009A6EFA">
        <w:t>—</w:t>
      </w:r>
      <w:r w:rsidRPr="009A6EFA">
        <w:t>Especially Aggravated Robbery</w:t>
      </w:r>
    </w:p>
    <w:p w14:paraId="2B608CFD" w14:textId="2B051791" w:rsidR="009B30EE" w:rsidRDefault="00401452">
      <w:pPr>
        <w:pStyle w:val="ListParagraph"/>
        <w:numPr>
          <w:ilvl w:val="0"/>
          <w:numId w:val="25"/>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The Defendant contends that the evidence did not establish especially aggravated robbery because the shooting was unrelated to any theft and had occurred before she took the pistol and SUV</w:t>
      </w:r>
      <w:r w:rsidR="00715F02">
        <w:t xml:space="preserve">.  </w:t>
      </w:r>
      <w:r w:rsidRPr="009A6EFA">
        <w:t>She asks the Court to reduce that conviction to a Class E felony theft</w:t>
      </w:r>
      <w:r w:rsidR="00715F02">
        <w:t xml:space="preserve">.  </w:t>
      </w:r>
      <w:r w:rsidRPr="009A6EFA">
        <w:t>In reply, the Defendant maintains that the proof did not establish a theft of the cell phone—particularly an intent to deprive Mr. Delk of it—or show that violence or fear facilitated her possession of the cell phone, pistol, or SUV.</w:t>
      </w:r>
    </w:p>
    <w:p w14:paraId="3B325008" w14:textId="77777777" w:rsidR="00CE78DA" w:rsidRPr="009A6EFA" w:rsidRDefault="00CE78DA" w:rsidP="00AC7C21">
      <w:pPr>
        <w:pStyle w:val="ListParagraph"/>
        <w:spacing w:after="100" w:line="320" w:lineRule="exact"/>
        <w:ind w:left="2520"/>
        <w:jc w:val="both"/>
      </w:pPr>
    </w:p>
    <w:p w14:paraId="2B608CFE" w14:textId="3EA79D5B" w:rsidR="009B30EE" w:rsidRPr="009A6EFA" w:rsidRDefault="00401452">
      <w:pPr>
        <w:pStyle w:val="ListParagraph"/>
        <w:numPr>
          <w:ilvl w:val="0"/>
          <w:numId w:val="26"/>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argues that the Defendant committed robbery by taking Mr. Delk</w:t>
      </w:r>
      <w:r w:rsidR="007A2BA4" w:rsidRPr="009A6EFA">
        <w:t>’</w:t>
      </w:r>
      <w:r w:rsidRPr="009A6EFA">
        <w:t>s cell phone after shooting him and while retaining the firearm, and that the jury could infer an intent to steal his property from the circumstances.</w:t>
      </w:r>
    </w:p>
    <w:p w14:paraId="54884563" w14:textId="77777777" w:rsidR="009A6EFA" w:rsidRDefault="009A6EFA" w:rsidP="00AC7C21">
      <w:pPr>
        <w:spacing w:line="320" w:lineRule="exact"/>
        <w:rPr>
          <w:b/>
          <w:bCs/>
          <w:i/>
          <w:iCs/>
        </w:rPr>
      </w:pPr>
      <w:r>
        <w:rPr>
          <w:b/>
          <w:bCs/>
          <w:i/>
          <w:iCs/>
        </w:rPr>
        <w:br w:type="page"/>
      </w:r>
    </w:p>
    <w:p w14:paraId="47EE3F02" w14:textId="33CE3022" w:rsidR="0065075D" w:rsidRPr="004E2244" w:rsidRDefault="0065075D" w:rsidP="00AC7C21">
      <w:pPr>
        <w:pStyle w:val="1CenteredMainHeading"/>
        <w:spacing w:line="320" w:lineRule="exact"/>
        <w:rPr>
          <w:i w:val="0"/>
          <w:iCs w:val="0"/>
        </w:rPr>
      </w:pPr>
      <w:r w:rsidRPr="009A6EFA">
        <w:lastRenderedPageBreak/>
        <w:t xml:space="preserve">State v. Savannah </w:t>
      </w:r>
      <w:r>
        <w:t>J</w:t>
      </w:r>
      <w:r w:rsidRPr="009A6EFA">
        <w:t xml:space="preserve">o </w:t>
      </w:r>
      <w:r>
        <w:t>F</w:t>
      </w:r>
      <w:r w:rsidRPr="009A6EFA">
        <w:t>ritts</w:t>
      </w:r>
      <w:r w:rsidRPr="004E2244">
        <w:rPr>
          <w:i w:val="0"/>
          <w:iCs w:val="0"/>
        </w:rPr>
        <w:t>, No</w:t>
      </w:r>
      <w:r w:rsidR="00401452" w:rsidRPr="004E2244">
        <w:rPr>
          <w:i w:val="0"/>
          <w:iCs w:val="0"/>
        </w:rPr>
        <w:t>. W2025-00393-CCA-R3-CD</w:t>
      </w:r>
    </w:p>
    <w:p w14:paraId="2B58491E" w14:textId="4CAFA417" w:rsidR="0065075D" w:rsidRDefault="00AC7C21">
      <w:pPr>
        <w:pStyle w:val="2TCGHeading2"/>
        <w:numPr>
          <w:ilvl w:val="0"/>
          <w:numId w:val="27"/>
        </w:numPr>
        <w:spacing w:after="480" w:line="320" w:lineRule="exact"/>
        <w:ind w:left="1440" w:hanging="720"/>
      </w:pPr>
      <w:r>
        <w:t>Lawyers Involved</w:t>
      </w:r>
    </w:p>
    <w:p w14:paraId="7116EFFF" w14:textId="396BB9A8" w:rsidR="0065075D" w:rsidRDefault="00A36744">
      <w:pPr>
        <w:pStyle w:val="ListParagraph"/>
        <w:numPr>
          <w:ilvl w:val="0"/>
          <w:numId w:val="28"/>
        </w:numPr>
        <w:spacing w:before="320" w:after="80" w:line="320" w:lineRule="exact"/>
        <w:ind w:left="1800"/>
      </w:pPr>
      <w:r w:rsidRPr="009A6EFA">
        <w:t>Jessica F. Butler, Assistant Public Defender – Appellate Division (for the Defendant</w:t>
      </w:r>
      <w:r w:rsidR="00A93E2C">
        <w:t>)</w:t>
      </w:r>
      <w:r w:rsidR="0065075D">
        <w:t xml:space="preserve"> </w:t>
      </w:r>
    </w:p>
    <w:p w14:paraId="2B608CFF" w14:textId="79815140" w:rsidR="009B30EE" w:rsidRPr="009A6EFA" w:rsidRDefault="00A36744">
      <w:pPr>
        <w:pStyle w:val="ListParagraph"/>
        <w:numPr>
          <w:ilvl w:val="0"/>
          <w:numId w:val="28"/>
        </w:numPr>
        <w:spacing w:before="320" w:after="80" w:line="320" w:lineRule="exact"/>
        <w:ind w:left="1800"/>
      </w:pPr>
      <w:r w:rsidRPr="009A6EFA">
        <w:t>Benjamin L. Barker, Assistant Attorney General (for the State)</w:t>
      </w:r>
    </w:p>
    <w:p w14:paraId="2B608D00" w14:textId="77777777" w:rsidR="009B30EE" w:rsidRPr="009A6EFA" w:rsidRDefault="00401452" w:rsidP="00AC7C21">
      <w:pPr>
        <w:pStyle w:val="2TCGHeading2"/>
        <w:spacing w:line="320" w:lineRule="exact"/>
      </w:pPr>
      <w:r w:rsidRPr="009A6EFA">
        <w:t>Issues Presented</w:t>
      </w:r>
    </w:p>
    <w:p w14:paraId="2B608D01" w14:textId="77777777" w:rsidR="009B30EE" w:rsidRDefault="00401452">
      <w:pPr>
        <w:pStyle w:val="ListParagraph"/>
        <w:numPr>
          <w:ilvl w:val="0"/>
          <w:numId w:val="30"/>
        </w:numPr>
        <w:spacing w:after="40" w:line="320" w:lineRule="exact"/>
        <w:ind w:left="1800"/>
        <w:jc w:val="both"/>
      </w:pPr>
      <w:r w:rsidRPr="009A6EFA">
        <w:t>Whether the evidence was sufficient to support the aggravated child endangerment convictions.</w:t>
      </w:r>
    </w:p>
    <w:p w14:paraId="627C9DB1" w14:textId="77777777" w:rsidR="0065075D" w:rsidRPr="009A6EFA" w:rsidRDefault="0065075D" w:rsidP="00AC7C21">
      <w:pPr>
        <w:pStyle w:val="ListParagraph"/>
        <w:spacing w:after="40" w:line="320" w:lineRule="exact"/>
        <w:ind w:left="1800"/>
        <w:jc w:val="both"/>
      </w:pPr>
    </w:p>
    <w:p w14:paraId="6418840B" w14:textId="77777777" w:rsidR="005B08BB" w:rsidRDefault="005B08BB">
      <w:pPr>
        <w:pStyle w:val="ListParagraph"/>
        <w:numPr>
          <w:ilvl w:val="0"/>
          <w:numId w:val="87"/>
        </w:numPr>
        <w:spacing w:after="40" w:line="320" w:lineRule="exact"/>
        <w:ind w:left="1800"/>
        <w:jc w:val="both"/>
      </w:pPr>
      <w:r>
        <w:t>Whether the trial court erred in questioning witnesses from the bench.</w:t>
      </w:r>
    </w:p>
    <w:p w14:paraId="4970F4CC" w14:textId="77777777" w:rsidR="005B08BB" w:rsidRDefault="005B08BB" w:rsidP="005B08BB">
      <w:pPr>
        <w:pStyle w:val="ListParagraph"/>
        <w:spacing w:after="40" w:line="320" w:lineRule="exact"/>
        <w:ind w:left="1800"/>
        <w:jc w:val="both"/>
      </w:pPr>
    </w:p>
    <w:p w14:paraId="2B608D03" w14:textId="100C7854" w:rsidR="009B30EE" w:rsidRPr="009A6EFA" w:rsidRDefault="005B08BB">
      <w:pPr>
        <w:pStyle w:val="ListParagraph"/>
        <w:numPr>
          <w:ilvl w:val="0"/>
          <w:numId w:val="87"/>
        </w:numPr>
        <w:spacing w:after="40" w:line="320" w:lineRule="exact"/>
        <w:ind w:left="1800"/>
        <w:jc w:val="both"/>
      </w:pPr>
      <w:r>
        <w:t>Whether the trial court abused its discretion in imposing the effective forty-year sentence</w:t>
      </w:r>
      <w:r w:rsidR="00401452" w:rsidRPr="009A6EFA">
        <w:t>.</w:t>
      </w:r>
    </w:p>
    <w:p w14:paraId="0D215F21" w14:textId="77777777" w:rsidR="009A6EFA" w:rsidRPr="009A6EFA" w:rsidRDefault="009A6EFA" w:rsidP="00AC7C21">
      <w:pPr>
        <w:pStyle w:val="2TCGHeading2"/>
        <w:spacing w:line="320" w:lineRule="exact"/>
      </w:pPr>
      <w:r w:rsidRPr="009A6EFA">
        <w:t>Factual Background</w:t>
      </w:r>
    </w:p>
    <w:p w14:paraId="09AE25F5" w14:textId="7D14D307" w:rsidR="000100BA" w:rsidRDefault="00401452" w:rsidP="00AC7C21">
      <w:pPr>
        <w:pStyle w:val="AOpinionTextStyle"/>
      </w:pPr>
      <w:r w:rsidRPr="009A6EFA">
        <w:t>The Defendant was convicted in the Benton County Circuit Court of criminally negligent homicide and two alternative counts of aggravated child endangerment following the drowning death of her two-year-old son</w:t>
      </w:r>
      <w:r w:rsidR="00715F02">
        <w:t xml:space="preserve">.  </w:t>
      </w:r>
      <w:r w:rsidR="001A4ACD" w:rsidRPr="001A4ACD">
        <w:t>The State’s proof indicated that the child was outside near the family’s swimming pool without adult supervision and was later found underwater without his flotation device</w:t>
      </w:r>
      <w:r w:rsidRPr="009A6EFA">
        <w:t xml:space="preserve">. </w:t>
      </w:r>
    </w:p>
    <w:p w14:paraId="568D39BD" w14:textId="4F4BCDA1" w:rsidR="00715F02" w:rsidRDefault="0046303B" w:rsidP="00AC7C21">
      <w:pPr>
        <w:pStyle w:val="AOpinionTextStyle"/>
      </w:pPr>
      <w:r w:rsidRPr="0046303B">
        <w:t>Testimony indicated that the Defendant had previously seen the child attempt to enter the pool and was aware that he could not swim</w:t>
      </w:r>
      <w:r w:rsidR="00715F02">
        <w:t>.</w:t>
      </w:r>
      <w:r>
        <w:t xml:space="preserve">  </w:t>
      </w:r>
      <w:r w:rsidR="00401452" w:rsidRPr="009A6EFA">
        <w:t>Testing after the drowning revealed Xanax, methamphetamine, methadone, and a Suboxone metabolite in the Defendant</w:t>
      </w:r>
      <w:r w:rsidR="007A2BA4" w:rsidRPr="009A6EFA">
        <w:t>’</w:t>
      </w:r>
      <w:r w:rsidR="00401452" w:rsidRPr="009A6EFA">
        <w:t xml:space="preserve">s system. </w:t>
      </w:r>
    </w:p>
    <w:p w14:paraId="2B608D04" w14:textId="14D13FB3" w:rsidR="009B30EE" w:rsidRDefault="00401452" w:rsidP="00AC7C21">
      <w:pPr>
        <w:pStyle w:val="AOpinionTextStyle"/>
      </w:pPr>
      <w:r w:rsidRPr="009A6EFA">
        <w:t xml:space="preserve">The aggravated child endangerment convictions were merged, and the trial court imposed an effective </w:t>
      </w:r>
      <w:r w:rsidR="00EB19D8">
        <w:t>forty</w:t>
      </w:r>
      <w:r w:rsidRPr="009A6EFA">
        <w:t>-year sentence.</w:t>
      </w:r>
    </w:p>
    <w:p w14:paraId="634AB740" w14:textId="6AD16755" w:rsidR="006B4461" w:rsidRPr="009A6EFA" w:rsidRDefault="006B4461" w:rsidP="00AC7C21">
      <w:pPr>
        <w:pStyle w:val="2TCGHeading2"/>
        <w:spacing w:line="320" w:lineRule="exact"/>
      </w:pPr>
      <w:r>
        <w:lastRenderedPageBreak/>
        <w:t>Arguments</w:t>
      </w:r>
    </w:p>
    <w:p w14:paraId="2B608D05" w14:textId="1B7D67CB" w:rsidR="009B30EE" w:rsidRPr="009A6EFA" w:rsidRDefault="00401452">
      <w:pPr>
        <w:pStyle w:val="Heading3"/>
        <w:numPr>
          <w:ilvl w:val="0"/>
          <w:numId w:val="31"/>
        </w:numPr>
        <w:spacing w:line="320" w:lineRule="exact"/>
        <w:ind w:hanging="720"/>
      </w:pPr>
      <w:r w:rsidRPr="009A6EFA">
        <w:t>Issue One: Sufficiency of the Evidence</w:t>
      </w:r>
      <w:r w:rsidR="007A2BA4" w:rsidRPr="009A6EFA">
        <w:t>—</w:t>
      </w:r>
      <w:r w:rsidRPr="009A6EFA">
        <w:t>Aggravated Child Endangerment</w:t>
      </w:r>
    </w:p>
    <w:p w14:paraId="2B608D06" w14:textId="18D31F39" w:rsidR="009B30EE" w:rsidRDefault="00401452">
      <w:pPr>
        <w:pStyle w:val="ListParagraph"/>
        <w:keepNext/>
        <w:numPr>
          <w:ilvl w:val="0"/>
          <w:numId w:val="29"/>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The Defendant challenges the sufficiency of the evidence supporting her aggravated-child-endangerment convictions</w:t>
      </w:r>
      <w:r w:rsidR="00715F02">
        <w:t xml:space="preserve">.  </w:t>
      </w:r>
      <w:r w:rsidRPr="009A6EFA">
        <w:t>She argues that child endangerment requires a parent to expose a child to, or fail to protect a child from, an independent act of abuse or neglect and does not apply when the parent</w:t>
      </w:r>
      <w:r w:rsidR="007A2BA4" w:rsidRPr="009A6EFA">
        <w:t>’</w:t>
      </w:r>
      <w:r w:rsidRPr="009A6EFA">
        <w:t>s own conduct constitutes the alleged neglect</w:t>
      </w:r>
      <w:r w:rsidR="00715F02">
        <w:t xml:space="preserve">.  </w:t>
      </w:r>
      <w:r w:rsidRPr="009A6EFA">
        <w:t xml:space="preserve">She also contends that her impairment did not mean that a controlled substance was </w:t>
      </w:r>
      <w:r w:rsidR="007A2BA4" w:rsidRPr="009A6EFA">
        <w:t>“</w:t>
      </w:r>
      <w:r w:rsidRPr="009A6EFA">
        <w:t>used to accomplish</w:t>
      </w:r>
      <w:r w:rsidR="007A2BA4" w:rsidRPr="009A6EFA">
        <w:t>”</w:t>
      </w:r>
      <w:r w:rsidRPr="009A6EFA">
        <w:t xml:space="preserve"> the endangerment.</w:t>
      </w:r>
    </w:p>
    <w:p w14:paraId="09801487" w14:textId="77777777" w:rsidR="00CE78DA" w:rsidRPr="009A6EFA" w:rsidRDefault="00CE78DA" w:rsidP="00AC7C21">
      <w:pPr>
        <w:pStyle w:val="ListParagraph"/>
        <w:spacing w:after="100" w:line="320" w:lineRule="exact"/>
        <w:ind w:left="2520"/>
        <w:jc w:val="both"/>
      </w:pPr>
    </w:p>
    <w:p w14:paraId="2B608D07" w14:textId="1752067B" w:rsidR="009B30EE" w:rsidRPr="009A6EFA" w:rsidRDefault="00401452">
      <w:pPr>
        <w:pStyle w:val="ListParagraph"/>
        <w:numPr>
          <w:ilvl w:val="0"/>
          <w:numId w:val="32"/>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responds that the statute does not require abuse or neglect by another person and that the Defendant endangered the child by failing to supervise him near the pool despite knowing the risk</w:t>
      </w:r>
      <w:r w:rsidR="00715F02">
        <w:t xml:space="preserve">.  </w:t>
      </w:r>
      <w:r w:rsidRPr="009A6EFA">
        <w:t>It further argues that the Defendant</w:t>
      </w:r>
      <w:r w:rsidR="007A2BA4" w:rsidRPr="009A6EFA">
        <w:t>’</w:t>
      </w:r>
      <w:r w:rsidRPr="009A6EFA">
        <w:t>s drug impairment facilitated that failure of supervision and therefore accomplished the endangerment.</w:t>
      </w:r>
    </w:p>
    <w:p w14:paraId="2B608D08" w14:textId="66897F78" w:rsidR="009B30EE" w:rsidRPr="009A6EFA" w:rsidRDefault="00401452" w:rsidP="00AC7C21">
      <w:pPr>
        <w:pStyle w:val="Heading3"/>
        <w:spacing w:line="320" w:lineRule="exact"/>
      </w:pPr>
      <w:r w:rsidRPr="009A6EFA">
        <w:t>Issue Two: Fair Trial</w:t>
      </w:r>
      <w:r w:rsidR="007A2BA4" w:rsidRPr="009A6EFA">
        <w:t>—</w:t>
      </w:r>
      <w:r w:rsidRPr="009A6EFA">
        <w:t>Judicial Questioning of Witnesses</w:t>
      </w:r>
    </w:p>
    <w:p w14:paraId="2B608D09" w14:textId="6C2C0799" w:rsidR="009B30EE" w:rsidRDefault="00401452">
      <w:pPr>
        <w:pStyle w:val="ListParagraph"/>
        <w:numPr>
          <w:ilvl w:val="0"/>
          <w:numId w:val="32"/>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The Defendant argues that the trial court deprived her of a fair trial by questioning her parents about the home</w:t>
      </w:r>
      <w:r w:rsidR="007A2BA4" w:rsidRPr="009A6EFA">
        <w:t>’</w:t>
      </w:r>
      <w:r w:rsidRPr="009A6EFA">
        <w:t>s sliding door, air conditioning, pool precautions, and the Defendant</w:t>
      </w:r>
      <w:r w:rsidR="007A2BA4" w:rsidRPr="009A6EFA">
        <w:t>’</w:t>
      </w:r>
      <w:r w:rsidRPr="009A6EFA">
        <w:t>s access to Xanax</w:t>
      </w:r>
      <w:r w:rsidR="00715F02">
        <w:t xml:space="preserve">.  </w:t>
      </w:r>
      <w:r w:rsidRPr="009A6EFA">
        <w:t>She contends that the questions suggested that the court doubted the witnesses</w:t>
      </w:r>
      <w:r w:rsidR="007A2BA4" w:rsidRPr="009A6EFA">
        <w:t>’</w:t>
      </w:r>
      <w:r w:rsidRPr="009A6EFA">
        <w:t xml:space="preserve"> credibility.</w:t>
      </w:r>
    </w:p>
    <w:p w14:paraId="4B8235AF" w14:textId="77777777" w:rsidR="00CE78DA" w:rsidRPr="009A6EFA" w:rsidRDefault="00CE78DA" w:rsidP="00AC7C21">
      <w:pPr>
        <w:pStyle w:val="ListParagraph"/>
        <w:spacing w:after="100" w:line="320" w:lineRule="exact"/>
        <w:ind w:left="2520"/>
        <w:jc w:val="both"/>
      </w:pPr>
    </w:p>
    <w:p w14:paraId="2B608D0A" w14:textId="0B05CEB9" w:rsidR="009B30EE" w:rsidRPr="009A6EFA" w:rsidRDefault="00401452">
      <w:pPr>
        <w:pStyle w:val="ListParagraph"/>
        <w:numPr>
          <w:ilvl w:val="0"/>
          <w:numId w:val="33"/>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argues that this issue is waived for lack of a contemporaneous objection and that the questions merely clarified the testimony.</w:t>
      </w:r>
    </w:p>
    <w:p w14:paraId="2B608D0B" w14:textId="77777777" w:rsidR="009B30EE" w:rsidRPr="009A6EFA" w:rsidRDefault="00401452" w:rsidP="00AC7C21">
      <w:pPr>
        <w:pStyle w:val="Heading3"/>
        <w:spacing w:line="320" w:lineRule="exact"/>
      </w:pPr>
      <w:r w:rsidRPr="009A6EFA">
        <w:t>Issue Three: Sentencing</w:t>
      </w:r>
    </w:p>
    <w:p w14:paraId="2B608D0C" w14:textId="19697D6F" w:rsidR="009B30EE" w:rsidRDefault="00401452">
      <w:pPr>
        <w:pStyle w:val="ListParagraph"/>
        <w:numPr>
          <w:ilvl w:val="0"/>
          <w:numId w:val="33"/>
        </w:numPr>
        <w:spacing w:after="100" w:line="320" w:lineRule="exact"/>
        <w:ind w:left="2520"/>
        <w:jc w:val="both"/>
      </w:pPr>
      <w:r w:rsidRPr="009A6EFA">
        <w:rPr>
          <w:b/>
          <w:bCs/>
        </w:rPr>
        <w:t>Defendant</w:t>
      </w:r>
      <w:r w:rsidR="007A2BA4" w:rsidRPr="009A6EFA">
        <w:rPr>
          <w:b/>
          <w:bCs/>
        </w:rPr>
        <w:t>’</w:t>
      </w:r>
      <w:r w:rsidRPr="009A6EFA">
        <w:rPr>
          <w:b/>
          <w:bCs/>
        </w:rPr>
        <w:t xml:space="preserve">s Argument: </w:t>
      </w:r>
      <w:r w:rsidRPr="009A6EFA">
        <w:t xml:space="preserve">The Defendant challenges her forty-year sentence as excessive, asserting that the trial court improperly applied </w:t>
      </w:r>
      <w:r w:rsidRPr="009A6EFA">
        <w:lastRenderedPageBreak/>
        <w:t>an enhancement factor and failed to give meaningful consideration to mitigation.</w:t>
      </w:r>
    </w:p>
    <w:p w14:paraId="40CE5A8E" w14:textId="77777777" w:rsidR="00913DBD" w:rsidRPr="009A6EFA" w:rsidRDefault="00913DBD" w:rsidP="00913DBD">
      <w:pPr>
        <w:pStyle w:val="ListParagraph"/>
        <w:spacing w:after="100" w:line="320" w:lineRule="exact"/>
        <w:ind w:left="2520"/>
        <w:jc w:val="both"/>
      </w:pPr>
    </w:p>
    <w:p w14:paraId="2B608D0D" w14:textId="68008AF8" w:rsidR="009B30EE" w:rsidRDefault="00401452">
      <w:pPr>
        <w:pStyle w:val="ListParagraph"/>
        <w:numPr>
          <w:ilvl w:val="0"/>
          <w:numId w:val="34"/>
        </w:numPr>
        <w:spacing w:after="100" w:line="320" w:lineRule="exact"/>
        <w:ind w:left="2520"/>
        <w:jc w:val="both"/>
      </w:pPr>
      <w:r w:rsidRPr="009A6EFA">
        <w:rPr>
          <w:b/>
          <w:bCs/>
        </w:rPr>
        <w:t>State</w:t>
      </w:r>
      <w:r w:rsidR="007A2BA4" w:rsidRPr="009A6EFA">
        <w:rPr>
          <w:b/>
          <w:bCs/>
        </w:rPr>
        <w:t>’</w:t>
      </w:r>
      <w:r w:rsidRPr="009A6EFA">
        <w:rPr>
          <w:b/>
          <w:bCs/>
        </w:rPr>
        <w:t xml:space="preserve">s Response: </w:t>
      </w:r>
      <w:r w:rsidRPr="009A6EFA">
        <w:t>The State responds that several unchallenged enhancement factors supported the within-range sentence and that the trial court considered, but assigned little weight to, the mitigating proof.</w:t>
      </w:r>
    </w:p>
    <w:p w14:paraId="54D2CE49" w14:textId="77777777" w:rsidR="000128AA" w:rsidRDefault="000128AA" w:rsidP="00AC7C21">
      <w:pPr>
        <w:spacing w:after="100" w:line="320" w:lineRule="exact"/>
        <w:jc w:val="both"/>
      </w:pPr>
    </w:p>
    <w:p w14:paraId="634E79B5" w14:textId="77777777" w:rsidR="000128AA" w:rsidRDefault="000128AA" w:rsidP="00AC7C21">
      <w:pPr>
        <w:spacing w:after="100" w:line="320" w:lineRule="exact"/>
        <w:jc w:val="both"/>
      </w:pPr>
    </w:p>
    <w:p w14:paraId="4906E5E6" w14:textId="77777777" w:rsidR="00AC7C21" w:rsidRDefault="00AC7C21">
      <w:pPr>
        <w:rPr>
          <w:b/>
          <w:bCs/>
        </w:rPr>
      </w:pPr>
      <w:r>
        <w:rPr>
          <w:b/>
          <w:bCs/>
        </w:rPr>
        <w:br w:type="page"/>
      </w:r>
    </w:p>
    <w:p w14:paraId="3A100475" w14:textId="78C56D81" w:rsidR="000128AA" w:rsidRDefault="000128AA" w:rsidP="00AC7C21">
      <w:pPr>
        <w:spacing w:line="320" w:lineRule="exact"/>
        <w:jc w:val="center"/>
        <w:rPr>
          <w:b/>
          <w:bCs/>
        </w:rPr>
      </w:pPr>
      <w:r w:rsidRPr="009A6EFA">
        <w:rPr>
          <w:b/>
          <w:bCs/>
        </w:rPr>
        <w:lastRenderedPageBreak/>
        <w:t>THE TENNESSEE COURT OF CRIMINAL APPEALS</w:t>
      </w:r>
    </w:p>
    <w:p w14:paraId="1387C078" w14:textId="77777777" w:rsidR="000128AA" w:rsidRPr="009A6EFA" w:rsidRDefault="000128AA" w:rsidP="00AC7C21">
      <w:pPr>
        <w:spacing w:line="320" w:lineRule="exact"/>
        <w:jc w:val="center"/>
      </w:pPr>
      <w:r>
        <w:rPr>
          <w:b/>
          <w:bCs/>
        </w:rPr>
        <w:t>September 2026 Docket – Western Section</w:t>
      </w:r>
    </w:p>
    <w:p w14:paraId="4E4DAF18" w14:textId="052D8A3C" w:rsidR="00B42BFD" w:rsidRPr="009A6EFA" w:rsidRDefault="00B42BFD" w:rsidP="00B42BFD">
      <w:pPr>
        <w:spacing w:line="320" w:lineRule="exact"/>
        <w:jc w:val="center"/>
      </w:pPr>
      <w:r>
        <w:t xml:space="preserve">Case Summaries:  </w:t>
      </w:r>
      <w:r w:rsidRPr="009A6EFA">
        <w:t>September 1, 2026</w:t>
      </w:r>
      <w:r>
        <w:t>, Afternoon Session</w:t>
      </w:r>
    </w:p>
    <w:p w14:paraId="501207E5" w14:textId="506503C0" w:rsidR="000128AA" w:rsidRPr="009A6EFA" w:rsidRDefault="000128AA" w:rsidP="00AC7C21">
      <w:pPr>
        <w:spacing w:line="320" w:lineRule="exact"/>
        <w:jc w:val="center"/>
      </w:pPr>
    </w:p>
    <w:p w14:paraId="22D620E6" w14:textId="28A53151" w:rsidR="006B4461" w:rsidRPr="004E2244" w:rsidRDefault="006B4461" w:rsidP="00AC7C21">
      <w:pPr>
        <w:pStyle w:val="1CenteredMainHeading"/>
        <w:spacing w:line="320" w:lineRule="exact"/>
        <w:rPr>
          <w:i w:val="0"/>
          <w:iCs w:val="0"/>
        </w:rPr>
      </w:pPr>
      <w:r w:rsidRPr="009A6EFA">
        <w:t xml:space="preserve">State v. </w:t>
      </w:r>
      <w:r>
        <w:t>Terrance Pearson</w:t>
      </w:r>
      <w:r w:rsidRPr="004E2244">
        <w:rPr>
          <w:i w:val="0"/>
          <w:iCs w:val="0"/>
        </w:rPr>
        <w:t>, No</w:t>
      </w:r>
      <w:r w:rsidR="005E77EC" w:rsidRPr="004E2244">
        <w:rPr>
          <w:i w:val="0"/>
          <w:iCs w:val="0"/>
        </w:rPr>
        <w:t>. W2025-01165-CCA-R3-CD</w:t>
      </w:r>
    </w:p>
    <w:p w14:paraId="5E3D9A0A" w14:textId="1940CFF8" w:rsidR="006B4461" w:rsidRDefault="00AC7C21">
      <w:pPr>
        <w:pStyle w:val="2TCGHeading2"/>
        <w:numPr>
          <w:ilvl w:val="0"/>
          <w:numId w:val="36"/>
        </w:numPr>
        <w:spacing w:after="480" w:line="320" w:lineRule="exact"/>
        <w:ind w:left="1440" w:hanging="720"/>
      </w:pPr>
      <w:r>
        <w:t>Lawyers Involved</w:t>
      </w:r>
    </w:p>
    <w:p w14:paraId="7CADA179" w14:textId="429859D6" w:rsidR="006B4461" w:rsidRPr="006B4461" w:rsidRDefault="005E77EC">
      <w:pPr>
        <w:pStyle w:val="ListParagraph"/>
        <w:numPr>
          <w:ilvl w:val="0"/>
          <w:numId w:val="35"/>
        </w:numPr>
        <w:spacing w:before="320" w:after="80" w:line="320" w:lineRule="exact"/>
        <w:ind w:left="1800"/>
        <w:rPr>
          <w:b/>
          <w:bCs/>
        </w:rPr>
      </w:pPr>
      <w:r>
        <w:t xml:space="preserve">William </w:t>
      </w:r>
      <w:r w:rsidR="00526F18">
        <w:t xml:space="preserve">W. </w:t>
      </w:r>
      <w:r>
        <w:t>Gill</w:t>
      </w:r>
      <w:r w:rsidRPr="009A6EFA">
        <w:t>, Assistant Public Defender – Appellate Division (for the Defendant</w:t>
      </w:r>
      <w:r w:rsidR="00A93E2C">
        <w:t>)</w:t>
      </w:r>
      <w:r w:rsidR="006B4461">
        <w:t xml:space="preserve"> </w:t>
      </w:r>
    </w:p>
    <w:p w14:paraId="0C508623" w14:textId="5BD45AD6" w:rsidR="005E77EC" w:rsidRPr="006B4461" w:rsidRDefault="005E77EC">
      <w:pPr>
        <w:pStyle w:val="ListParagraph"/>
        <w:numPr>
          <w:ilvl w:val="0"/>
          <w:numId w:val="35"/>
        </w:numPr>
        <w:spacing w:before="320" w:after="80" w:line="320" w:lineRule="exact"/>
        <w:ind w:left="1800"/>
        <w:rPr>
          <w:b/>
          <w:bCs/>
        </w:rPr>
      </w:pPr>
      <w:r w:rsidRPr="009A6EFA">
        <w:t>Ryan W. Davis, Assistant Attorney General (for the State)</w:t>
      </w:r>
    </w:p>
    <w:p w14:paraId="08369DF2" w14:textId="77777777" w:rsidR="005E77EC" w:rsidRPr="009A6EFA" w:rsidRDefault="005E77EC" w:rsidP="00AC7C21">
      <w:pPr>
        <w:pStyle w:val="2TCGHeading2"/>
        <w:spacing w:line="320" w:lineRule="exact"/>
      </w:pPr>
      <w:r w:rsidRPr="009A6EFA">
        <w:t>Issues Presented</w:t>
      </w:r>
    </w:p>
    <w:p w14:paraId="32560D5B" w14:textId="3CEB1617" w:rsidR="005E77EC" w:rsidRDefault="00AE2732">
      <w:pPr>
        <w:pStyle w:val="ListParagraph"/>
        <w:numPr>
          <w:ilvl w:val="0"/>
          <w:numId w:val="37"/>
        </w:numPr>
        <w:spacing w:after="40" w:line="320" w:lineRule="exact"/>
        <w:ind w:left="1800"/>
      </w:pPr>
      <w:r w:rsidRPr="00AE2732">
        <w:t>Whether the trial court erred in instructing the jury on sexual battery in connection with the attempted-rape charge</w:t>
      </w:r>
      <w:r w:rsidR="005E77EC">
        <w:t>.</w:t>
      </w:r>
    </w:p>
    <w:p w14:paraId="000D5CCC" w14:textId="77777777" w:rsidR="006B4461" w:rsidRPr="009A6EFA" w:rsidRDefault="006B4461" w:rsidP="00AC7C21">
      <w:pPr>
        <w:pStyle w:val="ListParagraph"/>
        <w:spacing w:after="40" w:line="320" w:lineRule="exact"/>
        <w:ind w:left="1800"/>
      </w:pPr>
    </w:p>
    <w:p w14:paraId="2A4B17A1" w14:textId="5AAC71AB" w:rsidR="005E77EC" w:rsidRDefault="005E77EC">
      <w:pPr>
        <w:pStyle w:val="ListParagraph"/>
        <w:numPr>
          <w:ilvl w:val="0"/>
          <w:numId w:val="37"/>
        </w:numPr>
        <w:spacing w:after="40" w:line="320" w:lineRule="exact"/>
        <w:ind w:left="1800"/>
      </w:pPr>
      <w:r>
        <w:t>Whether the trial court erred by declining to instruct the jury on voluntary intoxication.</w:t>
      </w:r>
    </w:p>
    <w:p w14:paraId="6FC7ED14" w14:textId="77777777" w:rsidR="006B4461" w:rsidRDefault="006B4461" w:rsidP="00AC7C21">
      <w:pPr>
        <w:spacing w:after="40" w:line="320" w:lineRule="exact"/>
      </w:pPr>
    </w:p>
    <w:p w14:paraId="69C9981C" w14:textId="16710F0E" w:rsidR="005E77EC" w:rsidRPr="005E77EC" w:rsidRDefault="00C11A98">
      <w:pPr>
        <w:pStyle w:val="ListParagraph"/>
        <w:numPr>
          <w:ilvl w:val="0"/>
          <w:numId w:val="37"/>
        </w:numPr>
        <w:spacing w:after="40" w:line="320" w:lineRule="exact"/>
        <w:ind w:left="1800"/>
      </w:pPr>
      <w:r w:rsidRPr="00C11A98">
        <w:t>Whether the Defendant is entitled to plain-error relief based on references to his status as a registered sex offender</w:t>
      </w:r>
      <w:r w:rsidR="005E77EC">
        <w:t xml:space="preserve">. </w:t>
      </w:r>
    </w:p>
    <w:p w14:paraId="1DD63E7A" w14:textId="77777777" w:rsidR="005E77EC" w:rsidRPr="009A6EFA" w:rsidRDefault="005E77EC" w:rsidP="00AC7C21">
      <w:pPr>
        <w:pStyle w:val="2TCGHeading2"/>
        <w:spacing w:line="320" w:lineRule="exact"/>
      </w:pPr>
      <w:r w:rsidRPr="009A6EFA">
        <w:t>Factual Background</w:t>
      </w:r>
    </w:p>
    <w:p w14:paraId="726A41BB" w14:textId="170B39C3" w:rsidR="005E77EC" w:rsidRPr="005E77EC" w:rsidRDefault="005E77EC" w:rsidP="00AC7C21">
      <w:pPr>
        <w:pStyle w:val="AOpinionTextStyle"/>
      </w:pPr>
      <w:r w:rsidRPr="005E77EC">
        <w:t xml:space="preserve">The Defendant was charged in the Henderson County Circuit Court with attempted rape, aggravated assault, and domestic assault. </w:t>
      </w:r>
      <w:r>
        <w:t xml:space="preserve"> </w:t>
      </w:r>
      <w:r w:rsidRPr="005E77EC">
        <w:t xml:space="preserve">The victim testified that she hired the Defendant to perform work at her home and that, on the day of the offenses, he arrived intoxicated, drank vodka, and passed out in a chair. </w:t>
      </w:r>
      <w:r>
        <w:t xml:space="preserve"> </w:t>
      </w:r>
      <w:r w:rsidRPr="005E77EC">
        <w:t xml:space="preserve">When she awakened him, the Defendant demanded sexual activity, struck and choked her, forced her into a bedroom, removed her pants, and attempted to rape her. </w:t>
      </w:r>
      <w:r>
        <w:t xml:space="preserve"> </w:t>
      </w:r>
      <w:r w:rsidRPr="005E77EC">
        <w:t>The victim further testified that the Defendant later placed a pistol against her head and threatened her.</w:t>
      </w:r>
    </w:p>
    <w:p w14:paraId="7168908D" w14:textId="057E208C" w:rsidR="005E77EC" w:rsidRPr="005E77EC" w:rsidRDefault="005E77EC" w:rsidP="00AC7C21">
      <w:pPr>
        <w:pStyle w:val="AOpinionTextStyle"/>
      </w:pPr>
      <w:r w:rsidRPr="005E77EC">
        <w:t xml:space="preserve">The Defendant told law enforcement that he had been drinking but maintained that the encounter was consensual. </w:t>
      </w:r>
      <w:r w:rsidR="004076E6">
        <w:t xml:space="preserve"> </w:t>
      </w:r>
      <w:r w:rsidRPr="005E77EC">
        <w:t xml:space="preserve">During the investigation, an officer made several references to the Defendant’s status as a registered sex offender. </w:t>
      </w:r>
      <w:r w:rsidR="004076E6">
        <w:t xml:space="preserve"> </w:t>
      </w:r>
      <w:r w:rsidRPr="005E77EC">
        <w:t xml:space="preserve">The Defendant did not object to these references. </w:t>
      </w:r>
      <w:r w:rsidR="004076E6">
        <w:t xml:space="preserve"> </w:t>
      </w:r>
      <w:r w:rsidRPr="005E77EC">
        <w:lastRenderedPageBreak/>
        <w:t xml:space="preserve">At trial, the court granted a judgment of acquittal on the domestic-assault charge. </w:t>
      </w:r>
      <w:r w:rsidR="004076E6">
        <w:t xml:space="preserve"> </w:t>
      </w:r>
      <w:r w:rsidRPr="005E77EC">
        <w:t>On its own initiative, the court instructed the jury on sexual battery as a lesser-included offense of attempted rape but declined the Defendant’s request for a voluntary-intoxication instruction.</w:t>
      </w:r>
    </w:p>
    <w:p w14:paraId="537E6789" w14:textId="52B33F6C" w:rsidR="005E77EC" w:rsidRPr="005E77EC" w:rsidRDefault="005E77EC" w:rsidP="00AC7C21">
      <w:pPr>
        <w:pStyle w:val="AOpinionTextStyle"/>
      </w:pPr>
      <w:r w:rsidRPr="005E77EC">
        <w:t xml:space="preserve">The jury acquitted the Defendant of attempted rape but convicted him of sexual battery and aggravated assault. </w:t>
      </w:r>
      <w:r w:rsidR="004076E6">
        <w:t xml:space="preserve"> </w:t>
      </w:r>
      <w:r w:rsidRPr="005E77EC">
        <w:t>The trial court classified the Defendant as a career offender and imposed consecutive sentences of six years for sexual battery and fifteen years for aggravated assault, resulting in an effective twenty-one-year sentence.</w:t>
      </w:r>
    </w:p>
    <w:p w14:paraId="5CA28420" w14:textId="00CAE5B4" w:rsidR="006B4461" w:rsidRDefault="006B4461" w:rsidP="00AC7C21">
      <w:pPr>
        <w:pStyle w:val="2TCGHeading2"/>
        <w:spacing w:line="320" w:lineRule="exact"/>
      </w:pPr>
      <w:r>
        <w:t>Arguments</w:t>
      </w:r>
    </w:p>
    <w:p w14:paraId="07842CD0" w14:textId="59DF0A7F" w:rsidR="005E77EC" w:rsidRPr="009A6EFA" w:rsidRDefault="005E77EC">
      <w:pPr>
        <w:pStyle w:val="Heading3"/>
        <w:keepNext w:val="0"/>
        <w:numPr>
          <w:ilvl w:val="0"/>
          <w:numId w:val="38"/>
        </w:numPr>
        <w:spacing w:line="320" w:lineRule="exact"/>
        <w:ind w:hanging="720"/>
      </w:pPr>
      <w:r w:rsidRPr="009A6EFA">
        <w:t xml:space="preserve">Issue One: </w:t>
      </w:r>
      <w:r w:rsidR="00143A8E">
        <w:t>Instruction on Sexual Battery</w:t>
      </w:r>
    </w:p>
    <w:p w14:paraId="74B7CD2C" w14:textId="0078D1A5" w:rsidR="005E77EC" w:rsidRDefault="005E77EC">
      <w:pPr>
        <w:pStyle w:val="ListParagraph"/>
        <w:numPr>
          <w:ilvl w:val="0"/>
          <w:numId w:val="39"/>
        </w:numPr>
        <w:spacing w:line="320" w:lineRule="exact"/>
        <w:ind w:left="2520"/>
        <w:jc w:val="both"/>
      </w:pPr>
      <w:r w:rsidRPr="000128AA">
        <w:rPr>
          <w:b/>
          <w:bCs/>
        </w:rPr>
        <w:t xml:space="preserve">Defendant’s Argument: </w:t>
      </w:r>
      <w:r w:rsidR="004076E6" w:rsidRPr="004076E6">
        <w:t xml:space="preserve">The Defendant argues that sexual battery is not a lesser-included offense of attempted rape and that the trial court therefore improperly amended the indictment by instructing the jury on that offense. </w:t>
      </w:r>
      <w:r w:rsidR="004076E6">
        <w:t xml:space="preserve"> </w:t>
      </w:r>
      <w:r w:rsidR="004076E6" w:rsidRPr="004076E6">
        <w:t xml:space="preserve">He maintains that he did not consent to the amendment merely by remaining silent when the court proposed the instruction. </w:t>
      </w:r>
      <w:r w:rsidR="004076E6">
        <w:t xml:space="preserve"> </w:t>
      </w:r>
      <w:r w:rsidR="004076E6" w:rsidRPr="004076E6">
        <w:t>The Defendant contends that the issue is subject to plenary review or, alternatively, that the instruction constituted plain error requiring the sexual-battery conviction to be vacated and dismissed.</w:t>
      </w:r>
    </w:p>
    <w:p w14:paraId="4D075B0A" w14:textId="77777777" w:rsidR="006B4461" w:rsidRPr="000128AA" w:rsidRDefault="006B4461" w:rsidP="00AC7C21">
      <w:pPr>
        <w:pStyle w:val="ListParagraph"/>
        <w:spacing w:line="320" w:lineRule="exact"/>
        <w:ind w:left="2520"/>
        <w:jc w:val="both"/>
      </w:pPr>
    </w:p>
    <w:p w14:paraId="4A47183B" w14:textId="14968DF9" w:rsidR="005E77EC" w:rsidRPr="000128AA" w:rsidRDefault="005E77EC">
      <w:pPr>
        <w:pStyle w:val="ListParagraph"/>
        <w:numPr>
          <w:ilvl w:val="0"/>
          <w:numId w:val="40"/>
        </w:numPr>
        <w:spacing w:after="100" w:line="320" w:lineRule="exact"/>
        <w:ind w:left="2520"/>
        <w:jc w:val="both"/>
      </w:pPr>
      <w:r w:rsidRPr="000128AA">
        <w:rPr>
          <w:b/>
          <w:bCs/>
        </w:rPr>
        <w:t xml:space="preserve">State’s Response: </w:t>
      </w:r>
      <w:r w:rsidR="004076E6" w:rsidRPr="004076E6">
        <w:t xml:space="preserve">The State responds that the Defendant waived plenary review by failing to object to the instruction and failing to raise the issue in his motion for a new trial. </w:t>
      </w:r>
      <w:r w:rsidR="004076E6">
        <w:t xml:space="preserve"> </w:t>
      </w:r>
      <w:r w:rsidR="004076E6" w:rsidRPr="004076E6">
        <w:t xml:space="preserve">It further argues that the Defendant cannot establish plain error because his repeated decisions not to object were tactical, allowing the jury to consider a less serious alternative to attempted rape. </w:t>
      </w:r>
      <w:r w:rsidR="004076E6">
        <w:t xml:space="preserve"> </w:t>
      </w:r>
      <w:r w:rsidR="004076E6" w:rsidRPr="004076E6">
        <w:t>Alternatively, the State contends that the proper remedy would be a new trial on attempted sexual battery and any other valid lesser-included offenses that the jury did not consider, rather than dismissal of the charge.</w:t>
      </w:r>
    </w:p>
    <w:p w14:paraId="24796408" w14:textId="2ACC27B7" w:rsidR="005E77EC" w:rsidRPr="009A6EFA" w:rsidRDefault="005E77EC" w:rsidP="00AC7C21">
      <w:pPr>
        <w:pStyle w:val="Heading3"/>
        <w:spacing w:line="320" w:lineRule="exact"/>
      </w:pPr>
      <w:r w:rsidRPr="009A6EFA">
        <w:t xml:space="preserve">Issue Two: </w:t>
      </w:r>
      <w:r w:rsidR="00143A8E">
        <w:t>Voluntary-Intoxication Instruction</w:t>
      </w:r>
    </w:p>
    <w:p w14:paraId="5FFF3D27" w14:textId="23ADAD8C" w:rsidR="005E77EC" w:rsidRDefault="005E77EC">
      <w:pPr>
        <w:pStyle w:val="ListParagraph"/>
        <w:keepNext/>
        <w:numPr>
          <w:ilvl w:val="0"/>
          <w:numId w:val="40"/>
        </w:numPr>
        <w:spacing w:line="320" w:lineRule="exact"/>
        <w:ind w:left="2520"/>
        <w:jc w:val="both"/>
      </w:pPr>
      <w:r w:rsidRPr="009A6EFA">
        <w:rPr>
          <w:b/>
          <w:bCs/>
        </w:rPr>
        <w:t xml:space="preserve">Defendant’s Argument: </w:t>
      </w:r>
      <w:r w:rsidR="00143A8E" w:rsidRPr="00143A8E">
        <w:t xml:space="preserve">The Defendant argues that the evidence fairly raised voluntary intoxication because the victim testified that he was drinking vodka, appeared drunk, had dilated eyes, and passed out more than once. </w:t>
      </w:r>
      <w:r w:rsidR="00143A8E">
        <w:t xml:space="preserve"> </w:t>
      </w:r>
      <w:r w:rsidR="00143A8E" w:rsidRPr="00143A8E">
        <w:t xml:space="preserve">He contends that this evidence was sufficient to permit the </w:t>
      </w:r>
      <w:r w:rsidR="00143A8E" w:rsidRPr="00143A8E">
        <w:lastRenderedPageBreak/>
        <w:t>jury to determine whether his intoxication prevented him from forming the culpable mental states required for the charged offenses.</w:t>
      </w:r>
    </w:p>
    <w:p w14:paraId="74269CA0" w14:textId="77777777" w:rsidR="00CE78DA" w:rsidRPr="000128AA" w:rsidRDefault="00CE78DA" w:rsidP="00AC7C21">
      <w:pPr>
        <w:pStyle w:val="ListParagraph"/>
        <w:keepNext/>
        <w:spacing w:line="320" w:lineRule="exact"/>
        <w:ind w:left="2520"/>
        <w:jc w:val="both"/>
      </w:pPr>
    </w:p>
    <w:p w14:paraId="2603E64E" w14:textId="1E92CE5C" w:rsidR="006F7BF4" w:rsidRPr="006F7BF4" w:rsidRDefault="005E77EC">
      <w:pPr>
        <w:pStyle w:val="ListParagraph"/>
        <w:numPr>
          <w:ilvl w:val="0"/>
          <w:numId w:val="41"/>
        </w:numPr>
        <w:spacing w:after="100" w:line="320" w:lineRule="exact"/>
        <w:ind w:left="2520"/>
        <w:jc w:val="both"/>
      </w:pPr>
      <w:r w:rsidRPr="009A6EFA">
        <w:rPr>
          <w:b/>
          <w:bCs/>
        </w:rPr>
        <w:t xml:space="preserve">State’s Response: </w:t>
      </w:r>
      <w:r w:rsidR="00143A8E" w:rsidRPr="00143A8E">
        <w:t xml:space="preserve">The State responds that the Defendant waived plenary review because the appellate record does not contain a written request for the instruction and that he did not request plain-error review in his brief. </w:t>
      </w:r>
      <w:r w:rsidR="00143A8E">
        <w:t xml:space="preserve"> </w:t>
      </w:r>
      <w:r w:rsidR="00143A8E" w:rsidRPr="00143A8E">
        <w:t xml:space="preserve">On the merits, the State argues that proof of intoxication alone did not warrant the instruction because the Defendant’s detailed account of the encounter demonstrated that he understood his actions and possessed the required mental state. </w:t>
      </w:r>
      <w:r w:rsidR="001D305B">
        <w:t xml:space="preserve"> </w:t>
      </w:r>
      <w:r w:rsidR="00143A8E" w:rsidRPr="00143A8E">
        <w:t>It further argues that any error did not affect the verdict because the trial court instructed the jury on the applicable mental states and the proof of guilt was overwhelming.</w:t>
      </w:r>
    </w:p>
    <w:p w14:paraId="182E4B26" w14:textId="49B69416" w:rsidR="006F7BF4" w:rsidRPr="009A6EFA" w:rsidRDefault="006F7BF4" w:rsidP="00AC7C21">
      <w:pPr>
        <w:pStyle w:val="Heading3"/>
        <w:spacing w:line="320" w:lineRule="exact"/>
      </w:pPr>
      <w:r w:rsidRPr="009A6EFA">
        <w:t xml:space="preserve">Issue </w:t>
      </w:r>
      <w:r>
        <w:t>Three</w:t>
      </w:r>
      <w:r w:rsidRPr="009A6EFA">
        <w:t xml:space="preserve">: </w:t>
      </w:r>
      <w:r>
        <w:t>References to the Sex-Offender Registry</w:t>
      </w:r>
    </w:p>
    <w:p w14:paraId="43059D0D" w14:textId="19CF3B4A" w:rsidR="006F7BF4" w:rsidRDefault="006F7BF4">
      <w:pPr>
        <w:pStyle w:val="ListParagraph"/>
        <w:keepNext/>
        <w:numPr>
          <w:ilvl w:val="0"/>
          <w:numId w:val="41"/>
        </w:numPr>
        <w:spacing w:line="320" w:lineRule="exact"/>
        <w:ind w:left="2520"/>
        <w:jc w:val="both"/>
      </w:pPr>
      <w:r w:rsidRPr="009A6EFA">
        <w:rPr>
          <w:b/>
          <w:bCs/>
        </w:rPr>
        <w:t xml:space="preserve">Defendant’s Argument: </w:t>
      </w:r>
      <w:r w:rsidRPr="006F7BF4">
        <w:t xml:space="preserve">The Defendant acknowledges that he did not preserve the issue but argues that the admission of his status as a registered sex offender constituted plain error under Tennessee Rule of Evidence 404(b). </w:t>
      </w:r>
      <w:r>
        <w:t xml:space="preserve"> </w:t>
      </w:r>
      <w:r w:rsidRPr="006F7BF4">
        <w:t>He contends that the references had no probative value, invited the jury to infer a propensity to commit sexual offenses, and were particularly prejudicial because the case depended largely on the victim’s credibility.</w:t>
      </w:r>
    </w:p>
    <w:p w14:paraId="55742274" w14:textId="77777777" w:rsidR="001B4E4E" w:rsidRPr="000128AA" w:rsidRDefault="001B4E4E" w:rsidP="00AC7C21">
      <w:pPr>
        <w:pStyle w:val="ListParagraph"/>
        <w:keepNext/>
        <w:spacing w:line="320" w:lineRule="exact"/>
        <w:ind w:left="2520"/>
        <w:jc w:val="both"/>
      </w:pPr>
    </w:p>
    <w:p w14:paraId="5A4725DF" w14:textId="3B0BE866" w:rsidR="005E77EC" w:rsidRPr="008F355B" w:rsidRDefault="006F7BF4">
      <w:pPr>
        <w:pStyle w:val="ListParagraph"/>
        <w:numPr>
          <w:ilvl w:val="0"/>
          <w:numId w:val="42"/>
        </w:numPr>
        <w:spacing w:after="100" w:line="320" w:lineRule="exact"/>
        <w:ind w:left="2520"/>
        <w:jc w:val="both"/>
      </w:pPr>
      <w:r w:rsidRPr="009A6EFA">
        <w:rPr>
          <w:b/>
          <w:bCs/>
        </w:rPr>
        <w:t xml:space="preserve">State’s Response: </w:t>
      </w:r>
      <w:r w:rsidRPr="006F7BF4">
        <w:t xml:space="preserve">The State responds that the Defendant cannot establish plain error because his decision not to object may have been tactical to avoid drawing attention to the brief references. </w:t>
      </w:r>
      <w:r>
        <w:t xml:space="preserve"> </w:t>
      </w:r>
      <w:r w:rsidRPr="006F7BF4">
        <w:t xml:space="preserve">It further argues that the references were limited, were not emphasized by the State, and did not identify the Defendant’s prior convictions. </w:t>
      </w:r>
      <w:r>
        <w:t xml:space="preserve"> </w:t>
      </w:r>
      <w:r w:rsidRPr="006F7BF4">
        <w:t>The State also notes that the jury acquitted the Defendant of attempted rape, demonstrating that it evaluated the evidence independently rather than convicting him based on his registry status.</w:t>
      </w:r>
    </w:p>
    <w:p w14:paraId="36B7069D" w14:textId="77777777" w:rsidR="001B4E4E" w:rsidRDefault="001B4E4E" w:rsidP="00AC7C21">
      <w:pPr>
        <w:spacing w:before="320" w:after="80" w:line="320" w:lineRule="exact"/>
        <w:rPr>
          <w:b/>
          <w:bCs/>
          <w:i/>
          <w:iCs/>
        </w:rPr>
      </w:pPr>
      <w:r>
        <w:rPr>
          <w:b/>
          <w:bCs/>
          <w:i/>
          <w:iCs/>
        </w:rPr>
        <w:br/>
      </w:r>
    </w:p>
    <w:p w14:paraId="3DD478FD" w14:textId="243EE871" w:rsidR="001B4E4E" w:rsidRPr="00AD6B47" w:rsidRDefault="001B4E4E" w:rsidP="00AC7C21">
      <w:pPr>
        <w:pStyle w:val="1CenteredMainHeading"/>
        <w:spacing w:line="320" w:lineRule="exact"/>
        <w:rPr>
          <w:i w:val="0"/>
          <w:iCs w:val="0"/>
        </w:rPr>
      </w:pPr>
      <w:r>
        <w:br w:type="column"/>
      </w:r>
      <w:r w:rsidRPr="009A6EFA">
        <w:lastRenderedPageBreak/>
        <w:t xml:space="preserve">State v. </w:t>
      </w:r>
      <w:r>
        <w:t>Jarrett Wilson</w:t>
      </w:r>
      <w:r w:rsidRPr="00AD6B47">
        <w:rPr>
          <w:i w:val="0"/>
          <w:iCs w:val="0"/>
        </w:rPr>
        <w:t>, No</w:t>
      </w:r>
      <w:r w:rsidR="00526F18" w:rsidRPr="00AD6B47">
        <w:rPr>
          <w:i w:val="0"/>
          <w:iCs w:val="0"/>
        </w:rPr>
        <w:t>. W2025-01845-CCA-R3-CD</w:t>
      </w:r>
    </w:p>
    <w:p w14:paraId="5D91DD03" w14:textId="01505C61" w:rsidR="001B4E4E" w:rsidRDefault="00AC7C21">
      <w:pPr>
        <w:pStyle w:val="2TCGHeading2"/>
        <w:numPr>
          <w:ilvl w:val="0"/>
          <w:numId w:val="43"/>
        </w:numPr>
        <w:spacing w:after="480" w:line="320" w:lineRule="exact"/>
        <w:ind w:left="1440" w:hanging="720"/>
      </w:pPr>
      <w:r>
        <w:t>Lawyers Involved</w:t>
      </w:r>
    </w:p>
    <w:p w14:paraId="0B2C5A85" w14:textId="509ADAF0" w:rsidR="001B4E4E" w:rsidRPr="001B4E4E" w:rsidRDefault="00526F18">
      <w:pPr>
        <w:pStyle w:val="ListParagraph"/>
        <w:numPr>
          <w:ilvl w:val="0"/>
          <w:numId w:val="42"/>
        </w:numPr>
        <w:spacing w:before="320" w:after="80" w:line="320" w:lineRule="exact"/>
        <w:ind w:left="1800"/>
        <w:rPr>
          <w:b/>
          <w:bCs/>
        </w:rPr>
      </w:pPr>
      <w:r>
        <w:t>Joshua V. Lehde</w:t>
      </w:r>
      <w:r w:rsidRPr="009A6EFA">
        <w:t>, Assistant Public Defender – Appellate Division (for the Defendant</w:t>
      </w:r>
      <w:r w:rsidR="00A93E2C">
        <w:t>)</w:t>
      </w:r>
      <w:r w:rsidR="001B4E4E">
        <w:t xml:space="preserve"> </w:t>
      </w:r>
    </w:p>
    <w:p w14:paraId="280F8AF9" w14:textId="1868E52B" w:rsidR="00526F18" w:rsidRPr="001B4E4E" w:rsidRDefault="00526F18">
      <w:pPr>
        <w:pStyle w:val="ListParagraph"/>
        <w:numPr>
          <w:ilvl w:val="0"/>
          <w:numId w:val="44"/>
        </w:numPr>
        <w:spacing w:before="320" w:after="80" w:line="320" w:lineRule="exact"/>
        <w:ind w:left="1800"/>
        <w:rPr>
          <w:b/>
          <w:bCs/>
        </w:rPr>
      </w:pPr>
      <w:r>
        <w:t>G. Kirby May</w:t>
      </w:r>
      <w:r w:rsidRPr="009A6EFA">
        <w:t>, Assistant Attorney General (for the State)</w:t>
      </w:r>
    </w:p>
    <w:p w14:paraId="77532F12" w14:textId="77777777" w:rsidR="00526F18" w:rsidRPr="009A6EFA" w:rsidRDefault="00526F18" w:rsidP="00AC7C21">
      <w:pPr>
        <w:pStyle w:val="2TCGHeading2"/>
        <w:spacing w:line="320" w:lineRule="exact"/>
      </w:pPr>
      <w:r w:rsidRPr="009A6EFA">
        <w:t>Issues Presented</w:t>
      </w:r>
    </w:p>
    <w:p w14:paraId="4D41C3B8" w14:textId="1904BC84" w:rsidR="00526F18" w:rsidRDefault="00EC5360">
      <w:pPr>
        <w:pStyle w:val="ListParagraph"/>
        <w:numPr>
          <w:ilvl w:val="0"/>
          <w:numId w:val="46"/>
        </w:numPr>
        <w:spacing w:after="40" w:line="320" w:lineRule="exact"/>
        <w:ind w:left="1800"/>
      </w:pPr>
      <w:r w:rsidRPr="00EC5360">
        <w:t>Whether the delay in serving and adjudicating the probation-violation warrant violated the Defendant’s constitutional right to a speedy trial</w:t>
      </w:r>
      <w:r w:rsidR="00526F18">
        <w:t xml:space="preserve">. </w:t>
      </w:r>
    </w:p>
    <w:p w14:paraId="45A093D6" w14:textId="77777777" w:rsidR="001B4E4E" w:rsidRPr="009A6EFA" w:rsidRDefault="001B4E4E" w:rsidP="00AC7C21">
      <w:pPr>
        <w:pStyle w:val="ListParagraph"/>
        <w:spacing w:after="40" w:line="320" w:lineRule="exact"/>
        <w:ind w:left="1800"/>
      </w:pPr>
    </w:p>
    <w:p w14:paraId="6E29B0FA" w14:textId="77777777" w:rsidR="00FD26BF" w:rsidRDefault="00526F18">
      <w:pPr>
        <w:pStyle w:val="ListParagraph"/>
        <w:numPr>
          <w:ilvl w:val="0"/>
          <w:numId w:val="46"/>
        </w:numPr>
        <w:spacing w:after="40" w:line="320" w:lineRule="exact"/>
        <w:ind w:left="1800"/>
      </w:pPr>
      <w:r>
        <w:t xml:space="preserve">Whether </w:t>
      </w:r>
      <w:r w:rsidR="00FD26BF">
        <w:t>the trial court made sufficient findings to support full revocation of the Defendant’s probation.</w:t>
      </w:r>
    </w:p>
    <w:p w14:paraId="08899FF8" w14:textId="77777777" w:rsidR="001B4E4E" w:rsidRDefault="001B4E4E" w:rsidP="00AC7C21">
      <w:pPr>
        <w:spacing w:after="40" w:line="320" w:lineRule="exact"/>
      </w:pPr>
    </w:p>
    <w:p w14:paraId="6EFE3F2F" w14:textId="4A632DE9" w:rsidR="00526F18" w:rsidRPr="009A6EFA" w:rsidRDefault="005222BF">
      <w:pPr>
        <w:pStyle w:val="ListParagraph"/>
        <w:numPr>
          <w:ilvl w:val="0"/>
          <w:numId w:val="46"/>
        </w:numPr>
        <w:spacing w:after="40" w:line="320" w:lineRule="exact"/>
        <w:ind w:left="1800"/>
      </w:pPr>
      <w:r w:rsidRPr="005222BF">
        <w:t>Whether the revocation order improperly included a sentence that had already expired</w:t>
      </w:r>
      <w:r w:rsidR="00FD26BF">
        <w:t xml:space="preserve">. </w:t>
      </w:r>
      <w:r w:rsidR="00526F18">
        <w:t xml:space="preserve"> </w:t>
      </w:r>
    </w:p>
    <w:p w14:paraId="2ACAEA02" w14:textId="77777777" w:rsidR="00526F18" w:rsidRPr="009A6EFA" w:rsidRDefault="00526F18" w:rsidP="00AC7C21">
      <w:pPr>
        <w:pStyle w:val="2TCGHeading2"/>
        <w:spacing w:line="320" w:lineRule="exact"/>
      </w:pPr>
      <w:r w:rsidRPr="009A6EFA">
        <w:t>Factual Background</w:t>
      </w:r>
    </w:p>
    <w:p w14:paraId="7414F2E2" w14:textId="5BB859D9" w:rsidR="00FD26BF" w:rsidRPr="00FD26BF" w:rsidRDefault="00FD26BF" w:rsidP="00AC7C21">
      <w:pPr>
        <w:pStyle w:val="AOpinionTextStyle"/>
      </w:pPr>
      <w:r w:rsidRPr="00FD26BF">
        <w:t xml:space="preserve">In 2018, the Defendant pleaded guilty in the Madison County Circuit Court to several drug, firearm, theft, and traffic offenses in case number 18-727 and to simple possession of marijuana in case number 18-640. </w:t>
      </w:r>
      <w:r>
        <w:t xml:space="preserve"> </w:t>
      </w:r>
      <w:r w:rsidRPr="00FD26BF">
        <w:t>He received an effective sentence of just under four years, part of which was served in confinement and part of which was suspended to Community Corrections and probation.</w:t>
      </w:r>
    </w:p>
    <w:p w14:paraId="62B6BEA3" w14:textId="29052FCF" w:rsidR="00FD26BF" w:rsidRPr="00FD26BF" w:rsidRDefault="00FD26BF" w:rsidP="00AC7C21">
      <w:pPr>
        <w:pStyle w:val="AOpinionTextStyle"/>
      </w:pPr>
      <w:r w:rsidRPr="00FD26BF">
        <w:t xml:space="preserve">A probation-violation warrant was issued in June 2019 based on a positive drug screen. </w:t>
      </w:r>
      <w:r>
        <w:t xml:space="preserve"> </w:t>
      </w:r>
      <w:r w:rsidRPr="00FD26BF">
        <w:t xml:space="preserve">An amended warrant issued in July 2021 alleged that the Defendant had stopped reporting and had been arrested on new criminal charges. </w:t>
      </w:r>
      <w:r>
        <w:t xml:space="preserve"> </w:t>
      </w:r>
      <w:r w:rsidRPr="00FD26BF">
        <w:t xml:space="preserve">Although Madison County placed a detainer while the Defendant was incarcerated in Chester County, he was later transferred to federal custody. </w:t>
      </w:r>
      <w:r>
        <w:t xml:space="preserve"> </w:t>
      </w:r>
      <w:r w:rsidRPr="00FD26BF">
        <w:t>The Defendant was not served with the amended warrant until September 2025, more than four years after its issuance.</w:t>
      </w:r>
    </w:p>
    <w:p w14:paraId="17BC5AB2" w14:textId="7A2C6C08" w:rsidR="00FD26BF" w:rsidRPr="00FD26BF" w:rsidRDefault="00FD26BF" w:rsidP="00AC7C21">
      <w:pPr>
        <w:pStyle w:val="AOpinionTextStyle"/>
      </w:pPr>
      <w:r w:rsidRPr="00FD26BF">
        <w:t xml:space="preserve">The trial court denied the Defendant’s motion to dismiss based on the delay. </w:t>
      </w:r>
      <w:r>
        <w:t xml:space="preserve"> </w:t>
      </w:r>
      <w:r w:rsidRPr="00FD26BF">
        <w:t xml:space="preserve">At the revocation hearing, the State introduced certified judgments showing that the Defendant had been </w:t>
      </w:r>
      <w:r w:rsidRPr="00FD26BF">
        <w:lastRenderedPageBreak/>
        <w:t xml:space="preserve">convicted of new felony offenses. </w:t>
      </w:r>
      <w:r>
        <w:t xml:space="preserve"> </w:t>
      </w:r>
      <w:r w:rsidRPr="00FD26BF">
        <w:t xml:space="preserve">The trial court found that he had violated probation “in a substantial way,” fully revoked his probation, and ordered him to serve the original sentence. </w:t>
      </w:r>
      <w:r>
        <w:t xml:space="preserve"> </w:t>
      </w:r>
      <w:r w:rsidRPr="00FD26BF">
        <w:t>The revocation order included both case numbers 18-727 and 18-640.</w:t>
      </w:r>
    </w:p>
    <w:p w14:paraId="729CFA10" w14:textId="49853A01" w:rsidR="001B4E4E" w:rsidRDefault="001B4E4E" w:rsidP="00AC7C21">
      <w:pPr>
        <w:pStyle w:val="2TCGHeading2"/>
        <w:spacing w:line="320" w:lineRule="exact"/>
      </w:pPr>
      <w:r>
        <w:t>Arguments</w:t>
      </w:r>
    </w:p>
    <w:p w14:paraId="506F73A1" w14:textId="392F9CBE" w:rsidR="00526F18" w:rsidRPr="009A6EFA" w:rsidRDefault="00526F18">
      <w:pPr>
        <w:pStyle w:val="Heading3"/>
        <w:keepNext w:val="0"/>
        <w:numPr>
          <w:ilvl w:val="0"/>
          <w:numId w:val="47"/>
        </w:numPr>
        <w:spacing w:line="320" w:lineRule="exact"/>
        <w:ind w:hanging="720"/>
      </w:pPr>
      <w:r w:rsidRPr="009A6EFA">
        <w:t xml:space="preserve">Issue One: </w:t>
      </w:r>
      <w:r w:rsidR="009626F2">
        <w:t>Right to a Speedy Trial</w:t>
      </w:r>
    </w:p>
    <w:p w14:paraId="5EB3CB11" w14:textId="75AE9F35" w:rsidR="00526F18" w:rsidRDefault="00526F18">
      <w:pPr>
        <w:pStyle w:val="ListParagraph"/>
        <w:numPr>
          <w:ilvl w:val="0"/>
          <w:numId w:val="45"/>
        </w:numPr>
        <w:spacing w:line="320" w:lineRule="exact"/>
        <w:ind w:left="2520"/>
        <w:jc w:val="both"/>
      </w:pPr>
      <w:r w:rsidRPr="000128AA">
        <w:rPr>
          <w:b/>
          <w:bCs/>
        </w:rPr>
        <w:t xml:space="preserve">Defendant’s Argument: </w:t>
      </w:r>
      <w:r w:rsidR="009626F2" w:rsidRPr="009626F2">
        <w:t xml:space="preserve">The Defendant argues that his speedy-trial right attached when the violation warrant was issued and that the delay should be analyzed under the four factors identified in </w:t>
      </w:r>
      <w:r w:rsidR="009626F2" w:rsidRPr="009626F2">
        <w:rPr>
          <w:i/>
          <w:iCs/>
        </w:rPr>
        <w:t>Barker v. Wingo</w:t>
      </w:r>
      <w:r w:rsidR="009626F2" w:rsidRPr="009626F2">
        <w:t xml:space="preserve">, 407 U.S. 514 (1972). </w:t>
      </w:r>
      <w:r w:rsidR="009626F2">
        <w:t xml:space="preserve"> </w:t>
      </w:r>
      <w:r w:rsidR="009626F2" w:rsidRPr="009626F2">
        <w:t xml:space="preserve">He contends that the lengthy delay resulted from bureaucratic indifference because the State did not prosecute the violation while he was incarcerated in Chester County or federal custody. </w:t>
      </w:r>
      <w:r w:rsidR="009626F2">
        <w:t xml:space="preserve"> </w:t>
      </w:r>
      <w:r w:rsidR="002E67F0" w:rsidRPr="002E67F0">
        <w:t>He further argues that the delay prejudiced him by preventing him from serving the revoked sentence concurrently with his new sentences and by depriving him of the opportunity to complete the revoked sentence during the period of delay</w:t>
      </w:r>
      <w:r w:rsidR="009626F2" w:rsidRPr="009626F2">
        <w:t xml:space="preserve">. </w:t>
      </w:r>
      <w:r w:rsidR="009626F2">
        <w:t xml:space="preserve"> </w:t>
      </w:r>
      <w:r w:rsidR="009626F2" w:rsidRPr="009626F2">
        <w:t xml:space="preserve">In reply, the Defendant maintains that </w:t>
      </w:r>
      <w:r w:rsidR="009626F2" w:rsidRPr="009626F2">
        <w:rPr>
          <w:i/>
          <w:iCs/>
        </w:rPr>
        <w:t>Allen v. State</w:t>
      </w:r>
      <w:r w:rsidR="009626F2" w:rsidRPr="009626F2">
        <w:t xml:space="preserve">, 505 S.W.2d 715 (Tenn. 1974), remains binding authority </w:t>
      </w:r>
      <w:r w:rsidR="00CD7A30" w:rsidRPr="00CD7A30">
        <w:t>for the proposition that</w:t>
      </w:r>
      <w:r w:rsidR="00CD7A30">
        <w:t xml:space="preserve"> </w:t>
      </w:r>
      <w:r w:rsidR="009626F2" w:rsidRPr="009626F2">
        <w:t>the speedy-trial right attaches upon issuance of a violation warrant.</w:t>
      </w:r>
    </w:p>
    <w:p w14:paraId="7FCCE085" w14:textId="77777777" w:rsidR="001B4E4E" w:rsidRPr="000128AA" w:rsidRDefault="001B4E4E" w:rsidP="00AC7C21">
      <w:pPr>
        <w:pStyle w:val="ListParagraph"/>
        <w:spacing w:line="320" w:lineRule="exact"/>
        <w:ind w:left="2520"/>
        <w:jc w:val="both"/>
      </w:pPr>
    </w:p>
    <w:p w14:paraId="32823460" w14:textId="5A67CAAE" w:rsidR="00526F18" w:rsidRPr="000128AA" w:rsidRDefault="00526F18">
      <w:pPr>
        <w:pStyle w:val="ListParagraph"/>
        <w:numPr>
          <w:ilvl w:val="0"/>
          <w:numId w:val="48"/>
        </w:numPr>
        <w:spacing w:after="100" w:line="320" w:lineRule="exact"/>
        <w:ind w:left="2520"/>
        <w:jc w:val="both"/>
      </w:pPr>
      <w:r w:rsidRPr="000128AA">
        <w:rPr>
          <w:b/>
          <w:bCs/>
        </w:rPr>
        <w:t xml:space="preserve">State’s Response: </w:t>
      </w:r>
      <w:r w:rsidR="009626F2" w:rsidRPr="009626F2">
        <w:t xml:space="preserve">The State responds that the speedy-trial right did not attach until the Defendant was served with the violation warrant in September 2025. </w:t>
      </w:r>
      <w:r w:rsidR="009626F2">
        <w:t xml:space="preserve"> </w:t>
      </w:r>
      <w:r w:rsidR="009626F2" w:rsidRPr="009626F2">
        <w:t xml:space="preserve">Alternatively, it argues that the </w:t>
      </w:r>
      <w:r w:rsidR="009626F2" w:rsidRPr="009626F2">
        <w:rPr>
          <w:i/>
          <w:iCs/>
        </w:rPr>
        <w:t>Barker</w:t>
      </w:r>
      <w:r w:rsidR="009626F2" w:rsidRPr="009626F2">
        <w:t xml:space="preserve"> factors weigh against the Defendant because the delay resulted from his continued criminal activity and confinement in other jurisdictions, he did not assert his right until 2025, and he failed to establish prejudice. </w:t>
      </w:r>
      <w:r w:rsidR="009626F2">
        <w:t xml:space="preserve"> </w:t>
      </w:r>
      <w:r w:rsidR="009626F2" w:rsidRPr="009626F2">
        <w:t>The State further contends that the mere possibility of concurrent sentencing is insufficient to establish prejudice absent proof that concurrent sentences were required or likely.</w:t>
      </w:r>
    </w:p>
    <w:p w14:paraId="4820219D" w14:textId="74371C44" w:rsidR="00526F18" w:rsidRPr="009A6EFA" w:rsidRDefault="00526F18" w:rsidP="00AC7C21">
      <w:pPr>
        <w:pStyle w:val="Heading3"/>
        <w:spacing w:line="320" w:lineRule="exact"/>
      </w:pPr>
      <w:r w:rsidRPr="009A6EFA">
        <w:t xml:space="preserve">Issue Two: </w:t>
      </w:r>
      <w:r w:rsidR="009626F2">
        <w:t>Findings Supporting Full Revocation</w:t>
      </w:r>
    </w:p>
    <w:p w14:paraId="13B65C9A" w14:textId="44332CBB" w:rsidR="00526F18" w:rsidRDefault="00526F18">
      <w:pPr>
        <w:pStyle w:val="ListParagraph"/>
        <w:keepNext/>
        <w:numPr>
          <w:ilvl w:val="0"/>
          <w:numId w:val="48"/>
        </w:numPr>
        <w:spacing w:line="320" w:lineRule="exact"/>
        <w:ind w:left="2520"/>
        <w:jc w:val="both"/>
      </w:pPr>
      <w:r w:rsidRPr="009A6EFA">
        <w:rPr>
          <w:b/>
          <w:bCs/>
        </w:rPr>
        <w:t xml:space="preserve">Defendant’s Argument: </w:t>
      </w:r>
      <w:r w:rsidR="009626F2" w:rsidRPr="009626F2">
        <w:t xml:space="preserve">The Defendant does not dispute that his new felony convictions established nontechnical probation violations. </w:t>
      </w:r>
      <w:r w:rsidR="009626F2">
        <w:t xml:space="preserve"> </w:t>
      </w:r>
      <w:r w:rsidR="009626F2" w:rsidRPr="009626F2">
        <w:t xml:space="preserve">Instead, he argues that the trial court made no findings explaining why full revocation was the appropriate consequence. </w:t>
      </w:r>
      <w:r w:rsidR="009626F2">
        <w:t xml:space="preserve"> </w:t>
      </w:r>
      <w:r w:rsidR="009626F2" w:rsidRPr="009626F2">
        <w:t xml:space="preserve">He contends that the absence of findings prevents meaningful appellate review and requires </w:t>
      </w:r>
      <w:r w:rsidR="009626F2" w:rsidRPr="009626F2">
        <w:lastRenderedPageBreak/>
        <w:t xml:space="preserve">a remand for a new revocation hearing. </w:t>
      </w:r>
      <w:r w:rsidR="009626F2">
        <w:t xml:space="preserve"> </w:t>
      </w:r>
      <w:r w:rsidR="009626F2" w:rsidRPr="009626F2">
        <w:t>In reply, he maintains that remand, rather than de novo appellate review, is the appropriate remedy under prior decisions of this Court.</w:t>
      </w:r>
    </w:p>
    <w:p w14:paraId="23E691F0" w14:textId="77777777" w:rsidR="001B4E4E" w:rsidRPr="000128AA" w:rsidRDefault="001B4E4E" w:rsidP="00AC7C21">
      <w:pPr>
        <w:pStyle w:val="ListParagraph"/>
        <w:keepNext/>
        <w:spacing w:line="320" w:lineRule="exact"/>
        <w:ind w:left="2520"/>
        <w:jc w:val="both"/>
      </w:pPr>
    </w:p>
    <w:p w14:paraId="560B4E3F" w14:textId="321B92E3" w:rsidR="00526F18" w:rsidRDefault="00526F18">
      <w:pPr>
        <w:pStyle w:val="ListParagraph"/>
        <w:numPr>
          <w:ilvl w:val="0"/>
          <w:numId w:val="49"/>
        </w:numPr>
        <w:spacing w:after="100" w:line="320" w:lineRule="exact"/>
        <w:ind w:left="2520"/>
        <w:jc w:val="both"/>
      </w:pPr>
      <w:r w:rsidRPr="009A6EFA">
        <w:rPr>
          <w:b/>
          <w:bCs/>
        </w:rPr>
        <w:t xml:space="preserve">State’s Response: </w:t>
      </w:r>
      <w:r w:rsidR="009626F2" w:rsidRPr="009626F2">
        <w:t xml:space="preserve">The State acknowledges that the trial court’s findings concerning the consequence of the violation should have been more robust. </w:t>
      </w:r>
      <w:r w:rsidR="009626F2">
        <w:t xml:space="preserve"> </w:t>
      </w:r>
      <w:r w:rsidR="009626F2" w:rsidRPr="009626F2">
        <w:t xml:space="preserve">Nevertheless, it asks the Court to conduct de novo review and affirm full revocation because the record shows that the Defendant stopped reporting, failed a drug screen, and committed multiple new felony drug and firearm offenses while on probation. </w:t>
      </w:r>
      <w:r w:rsidR="009626F2">
        <w:t xml:space="preserve"> </w:t>
      </w:r>
      <w:r w:rsidR="009626F2" w:rsidRPr="009626F2">
        <w:t>The State argues that these circumstances demonstrate that less restrictive measures were unsuccessful and that the Defendant was not amenable to continued probation.</w:t>
      </w:r>
    </w:p>
    <w:p w14:paraId="32EA71E7" w14:textId="4060FEDD" w:rsidR="00951D23" w:rsidRPr="009A6EFA" w:rsidRDefault="00951D23" w:rsidP="00AC7C21">
      <w:pPr>
        <w:pStyle w:val="Heading3"/>
        <w:spacing w:line="320" w:lineRule="exact"/>
      </w:pPr>
      <w:r w:rsidRPr="009A6EFA">
        <w:t xml:space="preserve">Issue </w:t>
      </w:r>
      <w:r>
        <w:t>Three</w:t>
      </w:r>
      <w:r w:rsidRPr="009A6EFA">
        <w:t xml:space="preserve">: </w:t>
      </w:r>
      <w:r>
        <w:t>Expired Sentence</w:t>
      </w:r>
    </w:p>
    <w:p w14:paraId="672076E5" w14:textId="2B12C36C" w:rsidR="00951D23" w:rsidRDefault="00951D23">
      <w:pPr>
        <w:pStyle w:val="ListParagraph"/>
        <w:keepNext/>
        <w:numPr>
          <w:ilvl w:val="0"/>
          <w:numId w:val="49"/>
        </w:numPr>
        <w:spacing w:line="320" w:lineRule="exact"/>
        <w:ind w:left="2520"/>
        <w:jc w:val="both"/>
      </w:pPr>
      <w:r w:rsidRPr="009A6EFA">
        <w:rPr>
          <w:b/>
          <w:bCs/>
        </w:rPr>
        <w:t xml:space="preserve">Defendant’s Argument: </w:t>
      </w:r>
      <w:r w:rsidRPr="00951D23">
        <w:t xml:space="preserve">The Defendant argues that his sentence in case number 18-640 had expired before </w:t>
      </w:r>
      <w:r w:rsidR="001B4E4E">
        <w:t>the</w:t>
      </w:r>
      <w:r w:rsidRPr="00951D23">
        <w:t xml:space="preserve"> violation warrant was issued. </w:t>
      </w:r>
      <w:r>
        <w:t xml:space="preserve"> </w:t>
      </w:r>
      <w:r w:rsidRPr="00951D23">
        <w:t>He therefore contends that the trial court lacked jurisdiction to revoke that sentence and asks the Court to remand for entry of a corrected revocation order removing that case number.</w:t>
      </w:r>
    </w:p>
    <w:p w14:paraId="76107671" w14:textId="77777777" w:rsidR="001B4E4E" w:rsidRPr="000128AA" w:rsidRDefault="001B4E4E" w:rsidP="00AC7C21">
      <w:pPr>
        <w:pStyle w:val="ListParagraph"/>
        <w:keepNext/>
        <w:spacing w:line="320" w:lineRule="exact"/>
        <w:ind w:left="2520"/>
        <w:jc w:val="both"/>
      </w:pPr>
    </w:p>
    <w:p w14:paraId="637E1012" w14:textId="07938722" w:rsidR="00951D23" w:rsidRDefault="00951D23">
      <w:pPr>
        <w:pStyle w:val="ListParagraph"/>
        <w:numPr>
          <w:ilvl w:val="0"/>
          <w:numId w:val="50"/>
        </w:numPr>
        <w:spacing w:after="100" w:line="320" w:lineRule="exact"/>
        <w:ind w:left="2520"/>
        <w:jc w:val="both"/>
      </w:pPr>
      <w:r w:rsidRPr="009A6EFA">
        <w:rPr>
          <w:b/>
          <w:bCs/>
        </w:rPr>
        <w:t xml:space="preserve">State’s Response: </w:t>
      </w:r>
      <w:r w:rsidRPr="00951D23">
        <w:t xml:space="preserve">The State concedes that the Defendant had completed the sentence in case number 18-640 before the revocation proceedings began. </w:t>
      </w:r>
      <w:r>
        <w:t xml:space="preserve"> </w:t>
      </w:r>
      <w:r w:rsidRPr="00951D23">
        <w:t>It agrees that the trial court lacked jurisdiction to revoke that sentence and that the case should be remanded for entry of a corrected revocation order.</w:t>
      </w:r>
    </w:p>
    <w:p w14:paraId="763B7D6B" w14:textId="77777777" w:rsidR="00951D23" w:rsidRDefault="00951D23" w:rsidP="00AC7C21">
      <w:pPr>
        <w:spacing w:after="100" w:line="320" w:lineRule="exact"/>
      </w:pPr>
    </w:p>
    <w:p w14:paraId="7FC5D8FA" w14:textId="77777777" w:rsidR="00B06171" w:rsidRDefault="00B06171" w:rsidP="00AC7C21">
      <w:pPr>
        <w:spacing w:after="100" w:line="320" w:lineRule="exact"/>
      </w:pPr>
    </w:p>
    <w:p w14:paraId="0659D9A8" w14:textId="77777777" w:rsidR="00B06171" w:rsidRDefault="00B06171" w:rsidP="00AC7C21">
      <w:pPr>
        <w:spacing w:after="100" w:line="320" w:lineRule="exact"/>
      </w:pPr>
    </w:p>
    <w:p w14:paraId="4E2B41AF" w14:textId="77777777" w:rsidR="00B06171" w:rsidRDefault="00B06171" w:rsidP="00AC7C21">
      <w:pPr>
        <w:spacing w:after="100" w:line="320" w:lineRule="exact"/>
      </w:pPr>
    </w:p>
    <w:p w14:paraId="1583681E" w14:textId="77777777" w:rsidR="00B06171" w:rsidRDefault="00B06171" w:rsidP="00AC7C21">
      <w:pPr>
        <w:spacing w:after="100" w:line="320" w:lineRule="exact"/>
      </w:pPr>
    </w:p>
    <w:p w14:paraId="48EC2773" w14:textId="77777777" w:rsidR="001B4E4E" w:rsidRDefault="001B4E4E" w:rsidP="00AC7C21">
      <w:pPr>
        <w:spacing w:before="320" w:after="80" w:line="320" w:lineRule="exact"/>
        <w:rPr>
          <w:b/>
          <w:bCs/>
          <w:i/>
          <w:iCs/>
        </w:rPr>
      </w:pPr>
      <w:r>
        <w:rPr>
          <w:b/>
          <w:bCs/>
          <w:i/>
          <w:iCs/>
        </w:rPr>
        <w:br/>
      </w:r>
      <w:r>
        <w:rPr>
          <w:b/>
          <w:bCs/>
          <w:i/>
          <w:iCs/>
        </w:rPr>
        <w:br/>
      </w:r>
    </w:p>
    <w:p w14:paraId="21B5E46E" w14:textId="77777777" w:rsidR="001B4E4E" w:rsidRDefault="001B4E4E" w:rsidP="00AC7C21">
      <w:pPr>
        <w:spacing w:line="320" w:lineRule="exact"/>
        <w:rPr>
          <w:b/>
          <w:bCs/>
          <w:i/>
          <w:iCs/>
        </w:rPr>
      </w:pPr>
      <w:r>
        <w:rPr>
          <w:b/>
          <w:bCs/>
          <w:i/>
          <w:iCs/>
        </w:rPr>
        <w:br w:type="page"/>
      </w:r>
    </w:p>
    <w:p w14:paraId="2D7C09BB" w14:textId="07594B03" w:rsidR="00A73ED7" w:rsidRPr="004E2244" w:rsidRDefault="00A73ED7" w:rsidP="00AC7C21">
      <w:pPr>
        <w:pStyle w:val="1CenteredMainHeading"/>
        <w:spacing w:line="320" w:lineRule="exact"/>
        <w:rPr>
          <w:i w:val="0"/>
          <w:iCs w:val="0"/>
        </w:rPr>
      </w:pPr>
      <w:r w:rsidRPr="009A6EFA">
        <w:lastRenderedPageBreak/>
        <w:t xml:space="preserve">State v. </w:t>
      </w:r>
      <w:r>
        <w:t>Darryl Howard</w:t>
      </w:r>
      <w:r w:rsidRPr="004E2244">
        <w:rPr>
          <w:i w:val="0"/>
          <w:iCs w:val="0"/>
        </w:rPr>
        <w:t>, No</w:t>
      </w:r>
      <w:r w:rsidR="00B06171" w:rsidRPr="004E2244">
        <w:rPr>
          <w:i w:val="0"/>
          <w:iCs w:val="0"/>
        </w:rPr>
        <w:t>. W2025-00584-CCA-R3-CD</w:t>
      </w:r>
    </w:p>
    <w:p w14:paraId="08CEBFF0" w14:textId="7D63F863" w:rsidR="00A73ED7" w:rsidRDefault="00AC7C21">
      <w:pPr>
        <w:pStyle w:val="2TCGHeading2"/>
        <w:numPr>
          <w:ilvl w:val="0"/>
          <w:numId w:val="51"/>
        </w:numPr>
        <w:spacing w:after="480" w:line="320" w:lineRule="exact"/>
        <w:ind w:left="1440" w:hanging="720"/>
      </w:pPr>
      <w:r>
        <w:t>Lawyers Involved</w:t>
      </w:r>
    </w:p>
    <w:p w14:paraId="73206D89" w14:textId="7D23378A" w:rsidR="006A461C" w:rsidRDefault="00B06171">
      <w:pPr>
        <w:pStyle w:val="ListParagraph"/>
        <w:numPr>
          <w:ilvl w:val="0"/>
          <w:numId w:val="52"/>
        </w:numPr>
        <w:spacing w:before="320" w:after="80" w:line="320" w:lineRule="exact"/>
        <w:ind w:left="1800"/>
      </w:pPr>
      <w:r>
        <w:t>Elizabeth Thornton, Qualified Law Student, and William W. Gill</w:t>
      </w:r>
      <w:r w:rsidRPr="009A6EFA">
        <w:t>, Assistant Public Defender – Appellate Division (for the Defendant</w:t>
      </w:r>
      <w:r w:rsidR="00A93E2C">
        <w:t>)</w:t>
      </w:r>
      <w:r w:rsidR="006A461C">
        <w:t xml:space="preserve"> </w:t>
      </w:r>
    </w:p>
    <w:p w14:paraId="72AEF432" w14:textId="035C8194" w:rsidR="00B06171" w:rsidRPr="00B06171" w:rsidRDefault="00302B0C">
      <w:pPr>
        <w:pStyle w:val="ListParagraph"/>
        <w:numPr>
          <w:ilvl w:val="0"/>
          <w:numId w:val="52"/>
        </w:numPr>
        <w:spacing w:before="320" w:after="80" w:line="320" w:lineRule="exact"/>
        <w:ind w:left="1800"/>
      </w:pPr>
      <w:r>
        <w:t>Ronald L. Coleman</w:t>
      </w:r>
      <w:r w:rsidR="00B06171" w:rsidRPr="009A6EFA">
        <w:t xml:space="preserve">, </w:t>
      </w:r>
      <w:r w:rsidR="00FE3CC4">
        <w:t xml:space="preserve">Senior </w:t>
      </w:r>
      <w:r w:rsidR="00B06171" w:rsidRPr="009A6EFA">
        <w:t>Assistant Attorney General</w:t>
      </w:r>
      <w:r>
        <w:t>, and Joshua R. Gilbert, Legal</w:t>
      </w:r>
      <w:r w:rsidR="006A461C">
        <w:t xml:space="preserve"> </w:t>
      </w:r>
      <w:r>
        <w:t xml:space="preserve">Assistant </w:t>
      </w:r>
      <w:r w:rsidR="00B06171" w:rsidRPr="009A6EFA">
        <w:t>(for the State)</w:t>
      </w:r>
    </w:p>
    <w:p w14:paraId="3CDB260A" w14:textId="77777777" w:rsidR="00B06171" w:rsidRPr="009A6EFA" w:rsidRDefault="00B06171" w:rsidP="00AC7C21">
      <w:pPr>
        <w:pStyle w:val="2TCGHeading2"/>
        <w:spacing w:line="320" w:lineRule="exact"/>
      </w:pPr>
      <w:r w:rsidRPr="009A6EFA">
        <w:t>Issues Presented</w:t>
      </w:r>
    </w:p>
    <w:p w14:paraId="3E4F2706" w14:textId="65B9C524" w:rsidR="00B06171" w:rsidRDefault="00B06171">
      <w:pPr>
        <w:pStyle w:val="ListParagraph"/>
        <w:numPr>
          <w:ilvl w:val="0"/>
          <w:numId w:val="54"/>
        </w:numPr>
        <w:spacing w:after="40" w:line="320" w:lineRule="exact"/>
        <w:ind w:left="1800"/>
        <w:jc w:val="both"/>
      </w:pPr>
      <w:r>
        <w:t xml:space="preserve">Whether the </w:t>
      </w:r>
      <w:r w:rsidR="00485127">
        <w:t>evidence was sufficient to establish that the Defendant’s Michigan conviction for “Robbery-Armed” was a felony crime of violence under Tennessee law.</w:t>
      </w:r>
    </w:p>
    <w:p w14:paraId="5EFC7DD7" w14:textId="77777777" w:rsidR="006A461C" w:rsidRPr="009A6EFA" w:rsidRDefault="006A461C" w:rsidP="00AC7C21">
      <w:pPr>
        <w:pStyle w:val="ListParagraph"/>
        <w:spacing w:after="40" w:line="320" w:lineRule="exact"/>
        <w:ind w:left="1800"/>
        <w:jc w:val="both"/>
      </w:pPr>
    </w:p>
    <w:p w14:paraId="6CBF6488" w14:textId="03E82695" w:rsidR="00B06171" w:rsidRPr="009A6EFA" w:rsidRDefault="00485127">
      <w:pPr>
        <w:pStyle w:val="ListParagraph"/>
        <w:numPr>
          <w:ilvl w:val="0"/>
          <w:numId w:val="54"/>
        </w:numPr>
        <w:spacing w:after="40" w:line="320" w:lineRule="exact"/>
        <w:ind w:left="1800"/>
        <w:jc w:val="both"/>
      </w:pPr>
      <w:r>
        <w:t xml:space="preserve">Whether the trial court properly classified the Defendant as a Range II Multiple Offender based on his prior Michigan convictions. </w:t>
      </w:r>
    </w:p>
    <w:p w14:paraId="0580A7D3" w14:textId="77777777" w:rsidR="00B06171" w:rsidRPr="009A6EFA" w:rsidRDefault="00B06171" w:rsidP="00AC7C21">
      <w:pPr>
        <w:pStyle w:val="2TCGHeading2"/>
        <w:spacing w:line="320" w:lineRule="exact"/>
      </w:pPr>
      <w:r w:rsidRPr="009A6EFA">
        <w:t>Factual Background</w:t>
      </w:r>
    </w:p>
    <w:p w14:paraId="212CE4EE" w14:textId="2E2A2262" w:rsidR="0032321D" w:rsidRDefault="0032321D" w:rsidP="00AC7C21">
      <w:pPr>
        <w:pStyle w:val="AOpinionTextStyle"/>
      </w:pPr>
      <w:r>
        <w:t>The Defendant was charged in the Henderson County Circuit Court with one count of possessing a firearm after having been convicted of a felony crime of violence and three counts of possessing a handgun after having been convicted of a felony.  The first count identified the Defendant’s 1995 Michigan conviction for “Robbery-Armed” as the predicate crime of violence.  Before trial, the trial court determined that the Michigan offense was equivalent to aggravated robbery in Tennessee and therefore constituted a crime of violence as a matter of law.</w:t>
      </w:r>
    </w:p>
    <w:p w14:paraId="525747F7" w14:textId="3BF5944F" w:rsidR="0032321D" w:rsidRDefault="0032321D" w:rsidP="00AC7C21">
      <w:pPr>
        <w:pStyle w:val="AOpinionTextStyle"/>
      </w:pPr>
      <w:r>
        <w:t>The proof showed that an officer arrested the Defendant outside a convenience store on an outstanding warrant.  A duffel bag located approximately twenty feet from the Defendant contained a firearm, paperwork, and a debit card bearing his name.  The State also introduced certified judgments reflecting four prior Michigan convictions.  Consistent with its pretrial ruling, the trial court instructed the jury that “Robbery-Armed” was a felony crime of violence.  The jury convicted the Defendant as charged on all four counts.</w:t>
      </w:r>
    </w:p>
    <w:p w14:paraId="7970AFD6" w14:textId="532CB60F" w:rsidR="0032321D" w:rsidRDefault="0032321D" w:rsidP="00AC7C21">
      <w:pPr>
        <w:pStyle w:val="AOpinionTextStyle"/>
      </w:pPr>
      <w:r>
        <w:t>At sentencing, the trial court classified the Defendant as a Range II Multiple Offender based on the Michigan convictions for “Robbery-Armed” and “Larceny in a Building.”  It imposed a twelve-year sentence with eighty-five</w:t>
      </w:r>
      <w:r w:rsidR="002525AE">
        <w:t xml:space="preserve"> </w:t>
      </w:r>
      <w:r>
        <w:t xml:space="preserve">percent release eligibility, and the remaining convictions </w:t>
      </w:r>
      <w:r>
        <w:lastRenderedPageBreak/>
        <w:t>merged into the Class B felony conviction.  The trial court alternatively found that, if the range classification were reversed, it would impose a Range I sentence of ten years, with eleven months and twenty-nine days in confinement and the balance suspended to probation.</w:t>
      </w:r>
    </w:p>
    <w:p w14:paraId="2B21C18D" w14:textId="5F9F0360" w:rsidR="006A461C" w:rsidRDefault="006A461C" w:rsidP="00AC7C21">
      <w:pPr>
        <w:pStyle w:val="2TCGHeading2"/>
        <w:spacing w:line="320" w:lineRule="exact"/>
      </w:pPr>
      <w:r>
        <w:t>Arguments</w:t>
      </w:r>
    </w:p>
    <w:p w14:paraId="48ABDB71" w14:textId="4B451B10" w:rsidR="00B06171" w:rsidRPr="009A6EFA" w:rsidRDefault="00B06171">
      <w:pPr>
        <w:pStyle w:val="Heading3"/>
        <w:keepNext w:val="0"/>
        <w:numPr>
          <w:ilvl w:val="0"/>
          <w:numId w:val="55"/>
        </w:numPr>
        <w:spacing w:line="320" w:lineRule="exact"/>
        <w:ind w:hanging="720"/>
      </w:pPr>
      <w:r w:rsidRPr="009A6EFA">
        <w:t>Issue One:</w:t>
      </w:r>
      <w:r w:rsidR="00377EDA">
        <w:t xml:space="preserve"> </w:t>
      </w:r>
      <w:r w:rsidRPr="009A6EFA">
        <w:t xml:space="preserve"> </w:t>
      </w:r>
      <w:r w:rsidR="00377EDA" w:rsidRPr="00377EDA">
        <w:t>Qualification of the Michigan Conviction as a Crime of Violence</w:t>
      </w:r>
    </w:p>
    <w:p w14:paraId="040E46E3" w14:textId="3673AF93" w:rsidR="00B06171" w:rsidRDefault="00B06171">
      <w:pPr>
        <w:pStyle w:val="ListParagraph"/>
        <w:numPr>
          <w:ilvl w:val="0"/>
          <w:numId w:val="53"/>
        </w:numPr>
        <w:spacing w:line="320" w:lineRule="exact"/>
        <w:ind w:left="2520"/>
        <w:jc w:val="both"/>
      </w:pPr>
      <w:r w:rsidRPr="000128AA">
        <w:rPr>
          <w:b/>
          <w:bCs/>
        </w:rPr>
        <w:t xml:space="preserve">Defendant’s Argument: </w:t>
      </w:r>
      <w:r w:rsidR="0028246C" w:rsidRPr="0028246C">
        <w:t xml:space="preserve">The Defendant argues that his Michigan conviction for “Robbery-Armed” does not qualify as a crime of violence under Tennessee Code Annotated section 39-17-1301(3). </w:t>
      </w:r>
      <w:r w:rsidR="0028246C">
        <w:t xml:space="preserve"> </w:t>
      </w:r>
      <w:r w:rsidR="0028246C" w:rsidRPr="0028246C">
        <w:t xml:space="preserve">He first contends that the statutory definition identifies only Tennessee offenses and does not permit an out-of-state conviction to establish a crime of violence. </w:t>
      </w:r>
      <w:r w:rsidR="0028246C">
        <w:t xml:space="preserve"> </w:t>
      </w:r>
      <w:r w:rsidR="0028246C" w:rsidRPr="0028246C">
        <w:t xml:space="preserve">Alternatively, he argues that Michigan’s offense is not equivalent to aggravated robbery in Tennessee because it could be committed without actual violence or the use or display of a deadly weapon. </w:t>
      </w:r>
      <w:r w:rsidR="0028246C">
        <w:t xml:space="preserve"> </w:t>
      </w:r>
      <w:r w:rsidR="0028246C" w:rsidRPr="0028246C">
        <w:t xml:space="preserve">Because “Robbery-Armed” is not expressly enumerated in section -1301(3), the Defendant contends that </w:t>
      </w:r>
      <w:r w:rsidR="0028246C" w:rsidRPr="0028246C">
        <w:rPr>
          <w:i/>
          <w:iCs/>
        </w:rPr>
        <w:t>State v. Curry</w:t>
      </w:r>
      <w:r w:rsidR="0028246C" w:rsidRPr="0028246C">
        <w:t xml:space="preserve">, 705 S.W.3d 176 (Tenn. 2025), required the jury to determine from the underlying facts whether his offense involved violence. </w:t>
      </w:r>
      <w:r w:rsidR="0028246C">
        <w:t xml:space="preserve"> </w:t>
      </w:r>
      <w:r w:rsidR="0028246C" w:rsidRPr="0028246C">
        <w:t>He argues that the certified judgment did not contain those facts and asks the Court to reduce his conviction to the Class E felony of possessing a firearm after having been convicted of a felony.</w:t>
      </w:r>
    </w:p>
    <w:p w14:paraId="494E7ED6" w14:textId="77777777" w:rsidR="006A461C" w:rsidRPr="000128AA" w:rsidRDefault="006A461C" w:rsidP="00AC7C21">
      <w:pPr>
        <w:pStyle w:val="ListParagraph"/>
        <w:spacing w:line="320" w:lineRule="exact"/>
        <w:ind w:left="2520"/>
        <w:jc w:val="both"/>
      </w:pPr>
    </w:p>
    <w:p w14:paraId="32C214DC" w14:textId="2D58B61A" w:rsidR="00B06171" w:rsidRPr="000128AA" w:rsidRDefault="00B06171">
      <w:pPr>
        <w:pStyle w:val="ListParagraph"/>
        <w:numPr>
          <w:ilvl w:val="0"/>
          <w:numId w:val="56"/>
        </w:numPr>
        <w:spacing w:after="100" w:line="320" w:lineRule="exact"/>
        <w:ind w:left="2520"/>
        <w:jc w:val="both"/>
      </w:pPr>
      <w:r w:rsidRPr="000128AA">
        <w:rPr>
          <w:b/>
          <w:bCs/>
        </w:rPr>
        <w:t xml:space="preserve">State’s Response: </w:t>
      </w:r>
      <w:r w:rsidR="0028246C" w:rsidRPr="0028246C">
        <w:t xml:space="preserve">The State responds that an out-of-state conviction may qualify as a crime of violence when the foreign offense is equivalent to an offense enumerated in section </w:t>
      </w:r>
      <w:r w:rsidR="00E43066">
        <w:t>39-17</w:t>
      </w:r>
      <w:r w:rsidR="0028246C" w:rsidRPr="0028246C">
        <w:t xml:space="preserve">-1301(3). </w:t>
      </w:r>
      <w:r w:rsidR="0028246C">
        <w:t xml:space="preserve"> </w:t>
      </w:r>
      <w:r w:rsidR="0028246C" w:rsidRPr="0028246C">
        <w:t xml:space="preserve">It argues that Michigan’s “Robbery-Armed” offense is analogous to Tennessee aggravated robbery because both require a robbery involving a dangerous or deadly weapon, and conduct amounting to an attempted battery with such a weapon constitutes violence under Tennessee law. </w:t>
      </w:r>
      <w:r w:rsidR="0028246C">
        <w:t xml:space="preserve"> </w:t>
      </w:r>
      <w:r w:rsidR="0028246C" w:rsidRPr="0028246C">
        <w:t>Because aggravated robbery is an enumerated crime of violence, the State maintains that the trial court properly decided the issue as a matter of law and that the certified judgment was sufficient to establish the predicate conviction.</w:t>
      </w:r>
    </w:p>
    <w:p w14:paraId="5AA6FDB5" w14:textId="2B781111" w:rsidR="00B06171" w:rsidRPr="009A6EFA" w:rsidRDefault="00B06171" w:rsidP="00AC7C21">
      <w:pPr>
        <w:pStyle w:val="Heading3"/>
        <w:spacing w:line="320" w:lineRule="exact"/>
      </w:pPr>
      <w:r w:rsidRPr="009A6EFA">
        <w:lastRenderedPageBreak/>
        <w:t xml:space="preserve">Issue Two: </w:t>
      </w:r>
      <w:r w:rsidR="0028246C">
        <w:t>Offender Classification</w:t>
      </w:r>
    </w:p>
    <w:p w14:paraId="6DDCD9C2" w14:textId="6C3E9121" w:rsidR="0028246C" w:rsidRDefault="00B06171">
      <w:pPr>
        <w:pStyle w:val="ListParagraph"/>
        <w:keepNext/>
        <w:numPr>
          <w:ilvl w:val="0"/>
          <w:numId w:val="56"/>
        </w:numPr>
        <w:spacing w:line="320" w:lineRule="exact"/>
        <w:ind w:left="2520"/>
        <w:jc w:val="both"/>
      </w:pPr>
      <w:r w:rsidRPr="0028246C">
        <w:rPr>
          <w:b/>
          <w:bCs/>
        </w:rPr>
        <w:t xml:space="preserve">Defendant’s Argument: </w:t>
      </w:r>
      <w:r w:rsidR="0028246C" w:rsidRPr="0028246C">
        <w:t xml:space="preserve">The Defendant argues that the State failed to prove the two qualifying prior felony convictions necessary to classify him as a Range II Multiple Offender. </w:t>
      </w:r>
      <w:r w:rsidR="0028246C">
        <w:t xml:space="preserve"> </w:t>
      </w:r>
      <w:r w:rsidR="0028246C" w:rsidRPr="0028246C">
        <w:t xml:space="preserve">He contends that the State relied on a version of Michigan’s “Robbery-Armed” statute enacted after his offense and failed to establish that the applicable offense was analogous to Tennessee aggravated robbery. </w:t>
      </w:r>
      <w:r w:rsidR="0028246C">
        <w:t xml:space="preserve"> </w:t>
      </w:r>
      <w:r w:rsidR="0028246C" w:rsidRPr="0028246C">
        <w:t xml:space="preserve">He also argues that “Larceny in a Building” was not equivalent to burglary in Tennessee because the Michigan offense did not require a breaking or unlawful entry and could encompass conduct amounting only to misdemeanor shoplifting. </w:t>
      </w:r>
      <w:r w:rsidR="0028246C">
        <w:t xml:space="preserve"> </w:t>
      </w:r>
      <w:r w:rsidR="0028246C" w:rsidRPr="0028246C">
        <w:t xml:space="preserve">He asks the </w:t>
      </w:r>
      <w:r w:rsidR="0028246C">
        <w:t>c</w:t>
      </w:r>
      <w:r w:rsidR="0028246C" w:rsidRPr="0028246C">
        <w:t>ourt to remand for resentencing as a Range I Standard Offender.</w:t>
      </w:r>
    </w:p>
    <w:p w14:paraId="398B508B" w14:textId="77777777" w:rsidR="006A461C" w:rsidRPr="0028246C" w:rsidRDefault="006A461C" w:rsidP="00AC7C21">
      <w:pPr>
        <w:pStyle w:val="ListParagraph"/>
        <w:keepNext/>
        <w:spacing w:line="320" w:lineRule="exact"/>
        <w:ind w:left="2520"/>
        <w:jc w:val="both"/>
      </w:pPr>
    </w:p>
    <w:p w14:paraId="01A3598C" w14:textId="62D85D50" w:rsidR="00B06171" w:rsidRPr="008C10C7" w:rsidRDefault="00B06171">
      <w:pPr>
        <w:pStyle w:val="ListParagraph"/>
        <w:keepNext/>
        <w:numPr>
          <w:ilvl w:val="0"/>
          <w:numId w:val="57"/>
        </w:numPr>
        <w:spacing w:after="100" w:line="320" w:lineRule="exact"/>
        <w:ind w:left="2520"/>
        <w:jc w:val="both"/>
      </w:pPr>
      <w:r w:rsidRPr="0028246C">
        <w:rPr>
          <w:b/>
          <w:bCs/>
        </w:rPr>
        <w:t xml:space="preserve">State’s Response: </w:t>
      </w:r>
      <w:r w:rsidR="00BD07F7" w:rsidRPr="00BD07F7">
        <w:t xml:space="preserve">The State maintains that the Defendant’s Michigan conviction for “Robbery-Armed” was equivalent to aggravated robbery in Tennessee. </w:t>
      </w:r>
      <w:r w:rsidR="00BD07F7">
        <w:t xml:space="preserve"> </w:t>
      </w:r>
      <w:r w:rsidR="00BD07F7" w:rsidRPr="00BD07F7">
        <w:t xml:space="preserve">Although the State supplied the wrong version of the Michigan statute at sentencing, it argues that the error was harmless because the trial court had previously considered the correct statutory language and found the offenses analogous. </w:t>
      </w:r>
      <w:r w:rsidR="00BD07F7">
        <w:t xml:space="preserve"> </w:t>
      </w:r>
      <w:r w:rsidR="00BD07F7" w:rsidRPr="00BD07F7">
        <w:t xml:space="preserve">The State concedes, however, that “Larceny in a Building” was not equivalent to Tennessee burglary and therefore did not qualify for range enhancement. </w:t>
      </w:r>
      <w:r w:rsidR="00BD07F7">
        <w:t xml:space="preserve"> </w:t>
      </w:r>
      <w:r w:rsidR="00BD07F7" w:rsidRPr="00BD07F7">
        <w:t>Because only one qualifying prior conviction remains, the State agrees that the case should be remanded for the Defendant to be sentenced as a Range I offender.</w:t>
      </w:r>
    </w:p>
    <w:p w14:paraId="6DB2DD81" w14:textId="77777777" w:rsidR="00951D23" w:rsidRDefault="00951D23" w:rsidP="00AC7C21">
      <w:pPr>
        <w:spacing w:after="100" w:line="320" w:lineRule="exact"/>
      </w:pPr>
    </w:p>
    <w:p w14:paraId="59A2BD87" w14:textId="6096FAAA" w:rsidR="00526F18" w:rsidRDefault="00526F18" w:rsidP="00AC7C21">
      <w:pPr>
        <w:spacing w:line="320" w:lineRule="exact"/>
      </w:pPr>
    </w:p>
    <w:p w14:paraId="7C27C89F" w14:textId="77777777" w:rsidR="008C10C7" w:rsidRPr="008C10C7" w:rsidRDefault="008C10C7" w:rsidP="00AC7C21">
      <w:pPr>
        <w:spacing w:line="320" w:lineRule="exact"/>
        <w:rPr>
          <w:b/>
          <w:bCs/>
          <w:i/>
          <w:iCs/>
        </w:rPr>
      </w:pPr>
    </w:p>
    <w:p w14:paraId="4E982A8F" w14:textId="77777777" w:rsidR="00526F18" w:rsidRDefault="00526F18" w:rsidP="00AC7C21">
      <w:pPr>
        <w:spacing w:before="320" w:after="80" w:line="320" w:lineRule="exact"/>
        <w:rPr>
          <w:b/>
          <w:bCs/>
          <w:i/>
          <w:iCs/>
        </w:rPr>
      </w:pPr>
    </w:p>
    <w:p w14:paraId="50CA744F" w14:textId="77777777" w:rsidR="00903F04" w:rsidRDefault="00903F04" w:rsidP="00AC7C21">
      <w:pPr>
        <w:spacing w:line="320" w:lineRule="exact"/>
        <w:rPr>
          <w:b/>
          <w:bCs/>
          <w:i/>
          <w:iCs/>
        </w:rPr>
      </w:pPr>
      <w:r>
        <w:rPr>
          <w:b/>
          <w:bCs/>
          <w:i/>
          <w:iCs/>
        </w:rPr>
        <w:br w:type="page"/>
      </w:r>
    </w:p>
    <w:p w14:paraId="30116A1A" w14:textId="4CD4B400" w:rsidR="006A461C" w:rsidRPr="004E2244" w:rsidRDefault="000128AA" w:rsidP="00AC7C21">
      <w:pPr>
        <w:pStyle w:val="1CenteredMainHeading"/>
        <w:spacing w:line="320" w:lineRule="exact"/>
        <w:rPr>
          <w:i w:val="0"/>
          <w:iCs w:val="0"/>
        </w:rPr>
      </w:pPr>
      <w:r w:rsidRPr="006A461C">
        <w:lastRenderedPageBreak/>
        <w:t>State v. Anthony Hogue</w:t>
      </w:r>
      <w:r w:rsidRPr="004E2244">
        <w:rPr>
          <w:i w:val="0"/>
          <w:iCs w:val="0"/>
        </w:rPr>
        <w:t>, No. W2025-01093-CCA-R3-CD</w:t>
      </w:r>
    </w:p>
    <w:p w14:paraId="7CBCEC40" w14:textId="5C4977D7" w:rsidR="006A461C" w:rsidRDefault="00AC7C21">
      <w:pPr>
        <w:pStyle w:val="2TCGHeading2"/>
        <w:numPr>
          <w:ilvl w:val="0"/>
          <w:numId w:val="58"/>
        </w:numPr>
        <w:spacing w:after="480" w:line="320" w:lineRule="exact"/>
        <w:ind w:left="1440" w:hanging="720"/>
      </w:pPr>
      <w:r>
        <w:t>Lawyers Involved</w:t>
      </w:r>
    </w:p>
    <w:p w14:paraId="3369FEB5" w14:textId="3EF81F2A" w:rsidR="006A461C" w:rsidRPr="006A461C" w:rsidRDefault="000128AA">
      <w:pPr>
        <w:pStyle w:val="ListParagraph"/>
        <w:numPr>
          <w:ilvl w:val="0"/>
          <w:numId w:val="59"/>
        </w:numPr>
        <w:spacing w:before="320" w:after="80" w:line="320" w:lineRule="exact"/>
        <w:ind w:left="1800"/>
        <w:rPr>
          <w:b/>
          <w:bCs/>
        </w:rPr>
      </w:pPr>
      <w:r>
        <w:t xml:space="preserve">Joshua </w:t>
      </w:r>
      <w:r w:rsidR="00526F18">
        <w:t xml:space="preserve">V. </w:t>
      </w:r>
      <w:r>
        <w:t>Lehde</w:t>
      </w:r>
      <w:r w:rsidRPr="009A6EFA">
        <w:t>, Assistant Public Defender – Appellate Division (for the Defendant</w:t>
      </w:r>
      <w:r w:rsidR="00A93E2C">
        <w:t>)</w:t>
      </w:r>
      <w:r w:rsidR="006A461C">
        <w:t xml:space="preserve"> </w:t>
      </w:r>
    </w:p>
    <w:p w14:paraId="5EC5B01C" w14:textId="4D86474C" w:rsidR="000128AA" w:rsidRPr="006A461C" w:rsidRDefault="000128AA">
      <w:pPr>
        <w:pStyle w:val="ListParagraph"/>
        <w:numPr>
          <w:ilvl w:val="0"/>
          <w:numId w:val="59"/>
        </w:numPr>
        <w:spacing w:before="320" w:after="80" w:line="320" w:lineRule="exact"/>
        <w:ind w:left="1800"/>
        <w:rPr>
          <w:b/>
          <w:bCs/>
        </w:rPr>
      </w:pPr>
      <w:r w:rsidRPr="009A6EFA">
        <w:t>Ryan W. Davis, Assistant Attorney General (for the State)</w:t>
      </w:r>
    </w:p>
    <w:p w14:paraId="61020CCB" w14:textId="77777777" w:rsidR="000128AA" w:rsidRPr="009A6EFA" w:rsidRDefault="000128AA" w:rsidP="00AC7C21">
      <w:pPr>
        <w:pStyle w:val="2TCGHeading2"/>
        <w:spacing w:line="320" w:lineRule="exact"/>
      </w:pPr>
      <w:r w:rsidRPr="009A6EFA">
        <w:t>Issues Presented</w:t>
      </w:r>
    </w:p>
    <w:p w14:paraId="26B1B3CB" w14:textId="312BE12E" w:rsidR="000128AA" w:rsidRDefault="00FE4B49">
      <w:pPr>
        <w:pStyle w:val="ListParagraph"/>
        <w:numPr>
          <w:ilvl w:val="0"/>
          <w:numId w:val="61"/>
        </w:numPr>
        <w:spacing w:after="40" w:line="320" w:lineRule="exact"/>
        <w:ind w:left="1800"/>
      </w:pPr>
      <w:r w:rsidRPr="00FE4B49">
        <w:t>Whether the trial court erred in revoking the Defendant’s probation based on his unsuccessful discharge from sex-offender treatment</w:t>
      </w:r>
      <w:r w:rsidR="000128AA">
        <w:t>.</w:t>
      </w:r>
    </w:p>
    <w:p w14:paraId="4CDEB1B3" w14:textId="77777777" w:rsidR="00BA066B" w:rsidRPr="009A6EFA" w:rsidRDefault="00BA066B" w:rsidP="00AC7C21">
      <w:pPr>
        <w:pStyle w:val="ListParagraph"/>
        <w:spacing w:after="40" w:line="320" w:lineRule="exact"/>
        <w:ind w:left="1800"/>
      </w:pPr>
    </w:p>
    <w:p w14:paraId="0A4B49BE" w14:textId="2C2A2621" w:rsidR="000128AA" w:rsidRPr="009A6EFA" w:rsidRDefault="00BD37D5">
      <w:pPr>
        <w:pStyle w:val="ListParagraph"/>
        <w:numPr>
          <w:ilvl w:val="0"/>
          <w:numId w:val="61"/>
        </w:numPr>
        <w:spacing w:after="40" w:line="320" w:lineRule="exact"/>
        <w:ind w:left="1800"/>
      </w:pPr>
      <w:r w:rsidRPr="00BD37D5">
        <w:t>Whether the original effective twenty-year probationary sentence exceeded the statutory limit and, if so, whether that issue may be addressed in this appeal</w:t>
      </w:r>
      <w:r w:rsidR="000128AA">
        <w:t xml:space="preserve">. </w:t>
      </w:r>
    </w:p>
    <w:p w14:paraId="0558AD15" w14:textId="77777777" w:rsidR="000128AA" w:rsidRPr="009A6EFA" w:rsidRDefault="000128AA" w:rsidP="00AC7C21">
      <w:pPr>
        <w:pStyle w:val="2TCGHeading2"/>
        <w:spacing w:line="320" w:lineRule="exact"/>
      </w:pPr>
      <w:r w:rsidRPr="009A6EFA">
        <w:t>Factual Background</w:t>
      </w:r>
    </w:p>
    <w:p w14:paraId="457E3723" w14:textId="5C5B37A3" w:rsidR="000128AA" w:rsidRDefault="000128AA" w:rsidP="00AC7C21">
      <w:pPr>
        <w:pStyle w:val="AOpinionTextStyle"/>
      </w:pPr>
      <w:r>
        <w:t xml:space="preserve">The Defendant pleaded guilty in the Gibson County Circuit Court to two counts of rape.  Pursuant to the plea agreement, the trial court imposed consecutive ten-year sentences, suspended the sentences to probation, and required the Defendant to participate in sex-offender treatment. </w:t>
      </w:r>
    </w:p>
    <w:p w14:paraId="2D875543" w14:textId="09CE1361" w:rsidR="000128AA" w:rsidRDefault="000128AA" w:rsidP="00AC7C21">
      <w:pPr>
        <w:pStyle w:val="AOpinionTextStyle"/>
      </w:pPr>
      <w:r>
        <w:t xml:space="preserve">The Defendant was later discharged unsuccessfully from treatment based on alleged hostile and aggressive behavior during a group session.  At the revocation hearing, the Defendant’s probation officer testified about the discharge, although she had not witnessed the incident.  The treatment provider did not testify, and the State offered no reason for her absence other than that she was unavailable. </w:t>
      </w:r>
    </w:p>
    <w:p w14:paraId="74AB12B7" w14:textId="3098E1EC" w:rsidR="000128AA" w:rsidRPr="009A6EFA" w:rsidRDefault="000128AA" w:rsidP="00AC7C21">
      <w:pPr>
        <w:pStyle w:val="AOpinionTextStyle"/>
      </w:pPr>
      <w:r>
        <w:t xml:space="preserve">The trial court fully revoked the Defendant’s probation and ordered him to serve the effective twenty-year sentence in confinement.  </w:t>
      </w:r>
    </w:p>
    <w:p w14:paraId="300FBB07" w14:textId="14584FAB" w:rsidR="00BA066B" w:rsidRDefault="00BA066B" w:rsidP="00AC7C21">
      <w:pPr>
        <w:pStyle w:val="2TCGHeading2"/>
        <w:spacing w:line="320" w:lineRule="exact"/>
      </w:pPr>
      <w:r>
        <w:t>Arguments</w:t>
      </w:r>
    </w:p>
    <w:p w14:paraId="1616156E" w14:textId="1654034F" w:rsidR="000128AA" w:rsidRPr="009A6EFA" w:rsidRDefault="000128AA">
      <w:pPr>
        <w:pStyle w:val="Heading3"/>
        <w:keepNext w:val="0"/>
        <w:numPr>
          <w:ilvl w:val="0"/>
          <w:numId w:val="63"/>
        </w:numPr>
        <w:spacing w:line="320" w:lineRule="exact"/>
        <w:ind w:hanging="720"/>
      </w:pPr>
      <w:r w:rsidRPr="009A6EFA">
        <w:t xml:space="preserve">Issue One: </w:t>
      </w:r>
      <w:r>
        <w:t>Revocation of Probation</w:t>
      </w:r>
    </w:p>
    <w:p w14:paraId="7C8CFF35" w14:textId="48846FEA" w:rsidR="000128AA" w:rsidRDefault="000128AA">
      <w:pPr>
        <w:pStyle w:val="ListParagraph"/>
        <w:numPr>
          <w:ilvl w:val="0"/>
          <w:numId w:val="60"/>
        </w:numPr>
        <w:spacing w:line="320" w:lineRule="exact"/>
        <w:ind w:left="2520"/>
        <w:jc w:val="both"/>
      </w:pPr>
      <w:r w:rsidRPr="000128AA">
        <w:rPr>
          <w:b/>
          <w:bCs/>
        </w:rPr>
        <w:lastRenderedPageBreak/>
        <w:t xml:space="preserve">Defendant’s Argument: </w:t>
      </w:r>
      <w:r w:rsidRPr="000128AA">
        <w:t xml:space="preserve">The Defendant argues that the trial court violated his due-process rights by relying on hearsay testimony without finding good cause for the treatment provider’s absence or that the hearsay was reliable. </w:t>
      </w:r>
      <w:r>
        <w:t xml:space="preserve"> </w:t>
      </w:r>
      <w:r w:rsidRPr="000128AA">
        <w:t xml:space="preserve">He further contends that the mere fact of his discharge, without admissible proof explaining the reason for it, was insufficient to establish a probation violation. </w:t>
      </w:r>
      <w:r>
        <w:t xml:space="preserve"> </w:t>
      </w:r>
      <w:r w:rsidRPr="000128AA">
        <w:t>In reply, the Defendant maintains that his hearsay objection preserved the due-process issue and that the trial court needed evidence allowing it to evaluate whether the treatment provider’s decision to discharge him was justified.</w:t>
      </w:r>
    </w:p>
    <w:p w14:paraId="5B75D053" w14:textId="77777777" w:rsidR="00BA066B" w:rsidRPr="000128AA" w:rsidRDefault="00BA066B" w:rsidP="00AC7C21">
      <w:pPr>
        <w:pStyle w:val="ListParagraph"/>
        <w:spacing w:line="320" w:lineRule="exact"/>
        <w:ind w:left="2520"/>
        <w:jc w:val="both"/>
      </w:pPr>
    </w:p>
    <w:p w14:paraId="1B6C14A3" w14:textId="5678F1A3" w:rsidR="000128AA" w:rsidRPr="000128AA" w:rsidRDefault="000128AA">
      <w:pPr>
        <w:pStyle w:val="ListParagraph"/>
        <w:numPr>
          <w:ilvl w:val="0"/>
          <w:numId w:val="62"/>
        </w:numPr>
        <w:spacing w:after="100" w:line="320" w:lineRule="exact"/>
        <w:ind w:left="2520"/>
        <w:jc w:val="both"/>
      </w:pPr>
      <w:r w:rsidRPr="000128AA">
        <w:rPr>
          <w:b/>
          <w:bCs/>
        </w:rPr>
        <w:t xml:space="preserve">State’s Response: </w:t>
      </w:r>
      <w:r w:rsidRPr="000128AA">
        <w:t xml:space="preserve">The State responds that the Defendant waived his hearsay claim by failing to obtain a ruling on his objection and waived his constitutional claim by failing to raise it specifically at the hearing. </w:t>
      </w:r>
      <w:r>
        <w:t xml:space="preserve"> </w:t>
      </w:r>
      <w:r w:rsidRPr="000128AA">
        <w:t>On the merits, the State argues that the Defendant’s undisputed failure to complete the statutorily required treatment program was itself sufficient to establish a violation, regardless of the reason for his discharge.</w:t>
      </w:r>
    </w:p>
    <w:p w14:paraId="1C606272" w14:textId="0569A46E" w:rsidR="000128AA" w:rsidRPr="009A6EFA" w:rsidRDefault="000128AA" w:rsidP="00AC7C21">
      <w:pPr>
        <w:pStyle w:val="Heading3"/>
        <w:spacing w:line="320" w:lineRule="exact"/>
        <w:rPr>
          <w:szCs w:val="24"/>
        </w:rPr>
      </w:pPr>
      <w:r w:rsidRPr="009A6EFA">
        <w:rPr>
          <w:szCs w:val="24"/>
        </w:rPr>
        <w:t xml:space="preserve">Issue Two: </w:t>
      </w:r>
      <w:r w:rsidR="003D7BC7" w:rsidRPr="003D7BC7">
        <w:t>Legality of the Original Suspended Sentence</w:t>
      </w:r>
    </w:p>
    <w:p w14:paraId="38AD6FDA" w14:textId="6A4040C4" w:rsidR="000128AA" w:rsidRDefault="000128AA">
      <w:pPr>
        <w:pStyle w:val="ListParagraph"/>
        <w:keepNext/>
        <w:numPr>
          <w:ilvl w:val="0"/>
          <w:numId w:val="62"/>
        </w:numPr>
        <w:spacing w:line="320" w:lineRule="exact"/>
        <w:ind w:left="2520"/>
        <w:jc w:val="both"/>
      </w:pPr>
      <w:r w:rsidRPr="009A6EFA">
        <w:rPr>
          <w:b/>
          <w:bCs/>
        </w:rPr>
        <w:t xml:space="preserve">Defendant’s Argument: </w:t>
      </w:r>
      <w:r w:rsidRPr="000128AA">
        <w:t xml:space="preserve">The Defendant argues that his original twenty-year probationary sentence was illegal because Tennessee Code Annotated section 40-35-303(c)(1) limits the total probationary period for multiple convictions to ten years. </w:t>
      </w:r>
      <w:r>
        <w:t xml:space="preserve"> </w:t>
      </w:r>
      <w:r w:rsidRPr="000128AA">
        <w:t xml:space="preserve">He suggests that the </w:t>
      </w:r>
      <w:r w:rsidR="00941015">
        <w:t>c</w:t>
      </w:r>
      <w:r w:rsidRPr="000128AA">
        <w:t xml:space="preserve">ourt may remand the case for consideration under Tennessee Rule of Criminal Procedure 36.1, although he acknowledges that the </w:t>
      </w:r>
      <w:r w:rsidR="00941015">
        <w:t>c</w:t>
      </w:r>
      <w:r w:rsidRPr="000128AA">
        <w:t xml:space="preserve">ourt could decline to address the issue in this revocation appeal. </w:t>
      </w:r>
      <w:r>
        <w:t xml:space="preserve"> </w:t>
      </w:r>
      <w:r w:rsidRPr="000128AA">
        <w:t xml:space="preserve">In reply, the Defendant agrees that the </w:t>
      </w:r>
      <w:r w:rsidR="00941015">
        <w:t>c</w:t>
      </w:r>
      <w:r w:rsidRPr="000128AA">
        <w:t>ourt may decline to consider the issue because the procedural requirements of Rule 36.1 ordinarily require the Defendant or the State to file a motion in the trial court.</w:t>
      </w:r>
    </w:p>
    <w:p w14:paraId="664A9B7A" w14:textId="77777777" w:rsidR="00BA066B" w:rsidRPr="000128AA" w:rsidRDefault="00BA066B" w:rsidP="00AC7C21">
      <w:pPr>
        <w:pStyle w:val="ListParagraph"/>
        <w:keepNext/>
        <w:spacing w:line="320" w:lineRule="exact"/>
        <w:ind w:left="2520"/>
        <w:jc w:val="both"/>
      </w:pPr>
    </w:p>
    <w:p w14:paraId="70A8E020" w14:textId="3E018CC0" w:rsidR="000128AA" w:rsidRPr="009A6EFA" w:rsidRDefault="000128AA">
      <w:pPr>
        <w:pStyle w:val="ListParagraph"/>
        <w:numPr>
          <w:ilvl w:val="0"/>
          <w:numId w:val="64"/>
        </w:numPr>
        <w:spacing w:after="100" w:line="320" w:lineRule="exact"/>
        <w:ind w:left="2520"/>
      </w:pPr>
      <w:r w:rsidRPr="009A6EFA">
        <w:rPr>
          <w:b/>
          <w:bCs/>
        </w:rPr>
        <w:t xml:space="preserve">State’s Response: </w:t>
      </w:r>
      <w:r w:rsidRPr="000128AA">
        <w:t xml:space="preserve">The State responds that the issue is waived because the Defendant did not challenge the sentence before the revocation proceedings or file a Rule 36.1 motion in the trial court. </w:t>
      </w:r>
      <w:r w:rsidR="00941015">
        <w:t xml:space="preserve"> </w:t>
      </w:r>
      <w:r w:rsidRPr="000128AA">
        <w:t>It further argues that any illegality was eliminated when the trial court revoked probation because the Defendant is now serving two lawful, within-range ten-year sentences in confinement.</w:t>
      </w:r>
    </w:p>
    <w:p w14:paraId="75B4F460" w14:textId="308C9EB4" w:rsidR="000128AA" w:rsidRPr="008C10C7" w:rsidRDefault="000128AA" w:rsidP="00AC7C21">
      <w:pPr>
        <w:spacing w:line="320" w:lineRule="exact"/>
        <w:rPr>
          <w:b/>
          <w:bCs/>
          <w:i/>
          <w:iCs/>
        </w:rPr>
      </w:pPr>
      <w:r>
        <w:rPr>
          <w:b/>
          <w:bCs/>
          <w:i/>
          <w:iCs/>
        </w:rPr>
        <w:br w:type="page"/>
      </w:r>
    </w:p>
    <w:p w14:paraId="7F941B0B" w14:textId="77777777" w:rsidR="008C10C7" w:rsidRDefault="008C10C7" w:rsidP="00AC7C21">
      <w:pPr>
        <w:spacing w:line="320" w:lineRule="exact"/>
        <w:jc w:val="center"/>
        <w:rPr>
          <w:b/>
          <w:bCs/>
        </w:rPr>
      </w:pPr>
      <w:r w:rsidRPr="009A6EFA">
        <w:rPr>
          <w:b/>
          <w:bCs/>
        </w:rPr>
        <w:lastRenderedPageBreak/>
        <w:t>THE TENNESSEE COURT OF CRIMINAL APPEALS</w:t>
      </w:r>
    </w:p>
    <w:p w14:paraId="6FDE6310" w14:textId="77777777" w:rsidR="008C10C7" w:rsidRPr="009A6EFA" w:rsidRDefault="008C10C7" w:rsidP="00AC7C21">
      <w:pPr>
        <w:spacing w:line="320" w:lineRule="exact"/>
        <w:jc w:val="center"/>
      </w:pPr>
      <w:r>
        <w:rPr>
          <w:b/>
          <w:bCs/>
        </w:rPr>
        <w:t>September 2026 Docket – Western Section</w:t>
      </w:r>
    </w:p>
    <w:p w14:paraId="50FE894C" w14:textId="4801100B" w:rsidR="00B42BFD" w:rsidRPr="009A6EFA" w:rsidRDefault="00B42BFD" w:rsidP="00B42BFD">
      <w:pPr>
        <w:spacing w:line="320" w:lineRule="exact"/>
        <w:jc w:val="center"/>
      </w:pPr>
      <w:r>
        <w:t xml:space="preserve">Case Summaries:  </w:t>
      </w:r>
      <w:r w:rsidRPr="009A6EFA">
        <w:t xml:space="preserve">September </w:t>
      </w:r>
      <w:r>
        <w:t>2</w:t>
      </w:r>
      <w:r w:rsidRPr="009A6EFA">
        <w:t>, 2026</w:t>
      </w:r>
      <w:r>
        <w:t>, Morning Session</w:t>
      </w:r>
    </w:p>
    <w:p w14:paraId="1984FF53" w14:textId="3F1CDAB1" w:rsidR="008C10C7" w:rsidRPr="009A6EFA" w:rsidRDefault="008C10C7" w:rsidP="00AC7C21">
      <w:pPr>
        <w:spacing w:line="320" w:lineRule="exact"/>
        <w:jc w:val="center"/>
      </w:pPr>
    </w:p>
    <w:p w14:paraId="1F347AC6" w14:textId="2E55B126" w:rsidR="00BA066B" w:rsidRPr="004E2244" w:rsidRDefault="00BA066B" w:rsidP="00AC7C21">
      <w:pPr>
        <w:pStyle w:val="1CenteredMainHeading"/>
        <w:spacing w:line="320" w:lineRule="exact"/>
        <w:rPr>
          <w:i w:val="0"/>
          <w:iCs w:val="0"/>
        </w:rPr>
      </w:pPr>
      <w:r w:rsidRPr="00BA066B">
        <w:t>State v. James Courtney Shane</w:t>
      </w:r>
      <w:r w:rsidRPr="004E2244">
        <w:rPr>
          <w:i w:val="0"/>
          <w:iCs w:val="0"/>
        </w:rPr>
        <w:t>, No</w:t>
      </w:r>
      <w:r w:rsidR="008C10C7" w:rsidRPr="004E2244">
        <w:rPr>
          <w:i w:val="0"/>
          <w:iCs w:val="0"/>
        </w:rPr>
        <w:t>. W202</w:t>
      </w:r>
      <w:r w:rsidR="00C73448" w:rsidRPr="004E2244">
        <w:rPr>
          <w:i w:val="0"/>
          <w:iCs w:val="0"/>
        </w:rPr>
        <w:t>6</w:t>
      </w:r>
      <w:r w:rsidR="008C10C7" w:rsidRPr="004E2244">
        <w:rPr>
          <w:i w:val="0"/>
          <w:iCs w:val="0"/>
        </w:rPr>
        <w:t>-00</w:t>
      </w:r>
      <w:r w:rsidR="001776E2" w:rsidRPr="004E2244">
        <w:rPr>
          <w:i w:val="0"/>
          <w:iCs w:val="0"/>
        </w:rPr>
        <w:t>026</w:t>
      </w:r>
      <w:r w:rsidR="008C10C7" w:rsidRPr="004E2244">
        <w:rPr>
          <w:i w:val="0"/>
          <w:iCs w:val="0"/>
        </w:rPr>
        <w:t>-CCA-R3-CD</w:t>
      </w:r>
    </w:p>
    <w:p w14:paraId="40C4BA9F" w14:textId="2A0F4A04" w:rsidR="00BA066B" w:rsidRDefault="00AC7C21">
      <w:pPr>
        <w:pStyle w:val="2TCGHeading2"/>
        <w:numPr>
          <w:ilvl w:val="0"/>
          <w:numId w:val="65"/>
        </w:numPr>
        <w:spacing w:after="480" w:line="320" w:lineRule="exact"/>
        <w:ind w:left="1440" w:hanging="720"/>
      </w:pPr>
      <w:r>
        <w:t>Lawyers Involved</w:t>
      </w:r>
    </w:p>
    <w:p w14:paraId="55EAB6CC" w14:textId="06259C10" w:rsidR="00BA066B" w:rsidRDefault="001776E2">
      <w:pPr>
        <w:pStyle w:val="ListParagraph"/>
        <w:numPr>
          <w:ilvl w:val="0"/>
          <w:numId w:val="67"/>
        </w:numPr>
        <w:spacing w:before="120" w:after="80" w:line="320" w:lineRule="exact"/>
        <w:ind w:left="1800"/>
      </w:pPr>
      <w:r>
        <w:t>Martin Dunn, Assistant Public Defender</w:t>
      </w:r>
      <w:r w:rsidR="008C10C7" w:rsidRPr="009A6EFA">
        <w:t xml:space="preserve"> (for the Defendant</w:t>
      </w:r>
      <w:r w:rsidR="00A93E2C">
        <w:t>)</w:t>
      </w:r>
      <w:r w:rsidR="00BA066B">
        <w:t xml:space="preserve"> </w:t>
      </w:r>
    </w:p>
    <w:p w14:paraId="21ABA112" w14:textId="5194D636" w:rsidR="001776E2" w:rsidRPr="001776E2" w:rsidRDefault="001776E2">
      <w:pPr>
        <w:pStyle w:val="ListParagraph"/>
        <w:numPr>
          <w:ilvl w:val="0"/>
          <w:numId w:val="67"/>
        </w:numPr>
        <w:spacing w:before="320" w:after="80" w:line="320" w:lineRule="exact"/>
        <w:ind w:left="1800"/>
      </w:pPr>
      <w:r>
        <w:t>Benjamin L. Barker</w:t>
      </w:r>
      <w:r w:rsidR="008C10C7" w:rsidRPr="009A6EFA">
        <w:t>, Assistant Attorney General (for the State)</w:t>
      </w:r>
    </w:p>
    <w:p w14:paraId="2B80A522" w14:textId="77777777" w:rsidR="008C10C7" w:rsidRPr="009A6EFA" w:rsidRDefault="008C10C7" w:rsidP="00AC7C21">
      <w:pPr>
        <w:pStyle w:val="2TCGHeading2"/>
        <w:spacing w:line="320" w:lineRule="exact"/>
      </w:pPr>
      <w:r w:rsidRPr="009A6EFA">
        <w:t>Issues Presented</w:t>
      </w:r>
    </w:p>
    <w:p w14:paraId="533C1730" w14:textId="1C55F7A3" w:rsidR="001776E2" w:rsidRDefault="00443136">
      <w:pPr>
        <w:pStyle w:val="NormalWeb"/>
        <w:numPr>
          <w:ilvl w:val="0"/>
          <w:numId w:val="68"/>
        </w:numPr>
        <w:spacing w:line="320" w:lineRule="exact"/>
        <w:ind w:left="1800"/>
        <w:jc w:val="both"/>
        <w:rPr>
          <w:color w:val="000000"/>
        </w:rPr>
      </w:pPr>
      <w:r w:rsidRPr="00443136">
        <w:rPr>
          <w:color w:val="000000"/>
        </w:rPr>
        <w:t>Whether defects alleged in the probation-violation affidavit and warrant deprived the trial court of jurisdiction over the revocation proceeding</w:t>
      </w:r>
      <w:r w:rsidR="001776E2">
        <w:rPr>
          <w:color w:val="000000"/>
        </w:rPr>
        <w:t>.</w:t>
      </w:r>
    </w:p>
    <w:p w14:paraId="7111EEB1" w14:textId="77777777" w:rsidR="0050329F" w:rsidRDefault="0050329F" w:rsidP="00AC7C21">
      <w:pPr>
        <w:pStyle w:val="NormalWeb"/>
        <w:spacing w:line="320" w:lineRule="exact"/>
        <w:ind w:left="1800"/>
        <w:jc w:val="both"/>
        <w:rPr>
          <w:color w:val="000000"/>
        </w:rPr>
      </w:pPr>
    </w:p>
    <w:p w14:paraId="43528094" w14:textId="77777777" w:rsidR="001776E2" w:rsidRDefault="001776E2">
      <w:pPr>
        <w:pStyle w:val="NormalWeb"/>
        <w:numPr>
          <w:ilvl w:val="0"/>
          <w:numId w:val="68"/>
        </w:numPr>
        <w:spacing w:line="320" w:lineRule="exact"/>
        <w:ind w:left="1800"/>
        <w:jc w:val="both"/>
        <w:rPr>
          <w:color w:val="000000"/>
        </w:rPr>
      </w:pPr>
      <w:r>
        <w:rPr>
          <w:color w:val="000000"/>
        </w:rPr>
        <w:t>Whether sufficient, reliable evidence established that the Defendant possessed illegal drugs.</w:t>
      </w:r>
    </w:p>
    <w:p w14:paraId="6AE7C118" w14:textId="77777777" w:rsidR="0050329F" w:rsidRDefault="0050329F" w:rsidP="00AC7C21">
      <w:pPr>
        <w:pStyle w:val="NormalWeb"/>
        <w:spacing w:line="320" w:lineRule="exact"/>
        <w:ind w:left="1800"/>
        <w:jc w:val="both"/>
        <w:rPr>
          <w:color w:val="000000"/>
        </w:rPr>
      </w:pPr>
    </w:p>
    <w:p w14:paraId="4F1B8D13" w14:textId="22B834D0" w:rsidR="001776E2" w:rsidRDefault="00561E02">
      <w:pPr>
        <w:pStyle w:val="NormalWeb"/>
        <w:numPr>
          <w:ilvl w:val="0"/>
          <w:numId w:val="68"/>
        </w:numPr>
        <w:spacing w:line="320" w:lineRule="exact"/>
        <w:ind w:left="1800"/>
        <w:jc w:val="both"/>
        <w:rPr>
          <w:color w:val="000000"/>
        </w:rPr>
      </w:pPr>
      <w:r w:rsidRPr="00561E02">
        <w:rPr>
          <w:color w:val="000000"/>
        </w:rPr>
        <w:t>Whether the trial court erred by ordering full revocation without making findings supporting that consequence</w:t>
      </w:r>
      <w:r w:rsidR="001776E2">
        <w:rPr>
          <w:color w:val="000000"/>
        </w:rPr>
        <w:t>.</w:t>
      </w:r>
    </w:p>
    <w:p w14:paraId="40841343" w14:textId="77777777" w:rsidR="008C10C7" w:rsidRPr="009A6EFA" w:rsidRDefault="008C10C7" w:rsidP="00AC7C21">
      <w:pPr>
        <w:pStyle w:val="2TCGHeading2"/>
        <w:spacing w:line="320" w:lineRule="exact"/>
      </w:pPr>
      <w:r w:rsidRPr="009A6EFA">
        <w:t>Factual Background</w:t>
      </w:r>
    </w:p>
    <w:p w14:paraId="0DCB6EFA" w14:textId="0B999989" w:rsidR="001776E2" w:rsidRPr="001776E2" w:rsidRDefault="001776E2" w:rsidP="00AC7C21">
      <w:pPr>
        <w:pStyle w:val="AOpinionTextStyle"/>
      </w:pPr>
      <w:r w:rsidRPr="001776E2">
        <w:t xml:space="preserve">The Defendant was serving an eight-year probationary sentence for aggravated assault and abuse of a vulnerable adult. </w:t>
      </w:r>
      <w:r>
        <w:t xml:space="preserve"> </w:t>
      </w:r>
      <w:r w:rsidRPr="001776E2">
        <w:t xml:space="preserve">In June 2025, his probation officer submitted a violation report alleging that the Defendant had committed felony possession of a Schedule II controlled substance with intent to sell or deliver. </w:t>
      </w:r>
      <w:r>
        <w:t xml:space="preserve"> </w:t>
      </w:r>
      <w:r w:rsidRPr="001776E2">
        <w:t>The accompanying affidavit was signed before a notary public, and the trial judge subsequently issued a probation-violation warrant.</w:t>
      </w:r>
    </w:p>
    <w:p w14:paraId="506D374C" w14:textId="0E16EB73" w:rsidR="001776E2" w:rsidRPr="001776E2" w:rsidRDefault="001776E2" w:rsidP="00AC7C21">
      <w:pPr>
        <w:pStyle w:val="AOpinionTextStyle"/>
      </w:pPr>
      <w:r w:rsidRPr="001776E2">
        <w:t xml:space="preserve">At the revocation hearing, an officer testified that he saw a clear plastic bag fall near the Defendant while responding to a call at a residence. </w:t>
      </w:r>
      <w:r>
        <w:t xml:space="preserve"> </w:t>
      </w:r>
      <w:r w:rsidRPr="001776E2">
        <w:t xml:space="preserve">Another bag was discovered near the tire of the patrol car where the Defendant had been standing. </w:t>
      </w:r>
      <w:r>
        <w:t xml:space="preserve"> </w:t>
      </w:r>
      <w:r w:rsidRPr="001776E2">
        <w:t>The bags contained individually packaged substances that the officer suspected were methamphetamine and pills, and a field test indicated the presence of methamphetamine.</w:t>
      </w:r>
    </w:p>
    <w:p w14:paraId="08EF4D95" w14:textId="3F4EDA83" w:rsidR="001776E2" w:rsidRPr="001776E2" w:rsidRDefault="001776E2" w:rsidP="00AC7C21">
      <w:pPr>
        <w:pStyle w:val="AOpinionTextStyle"/>
      </w:pPr>
      <w:r w:rsidRPr="001776E2">
        <w:lastRenderedPageBreak/>
        <w:t xml:space="preserve">The trial court also admitted a Tennessee Bureau of Investigation laboratory report identifying the substances as methamphetamine and hydrocodone. </w:t>
      </w:r>
      <w:r>
        <w:t xml:space="preserve"> </w:t>
      </w:r>
      <w:r w:rsidRPr="001776E2">
        <w:t xml:space="preserve">The Defendant challenged the reliability and admissibility of that evidence. </w:t>
      </w:r>
      <w:r>
        <w:t xml:space="preserve"> </w:t>
      </w:r>
      <w:r w:rsidRPr="001776E2">
        <w:t>The court found that the Defendant had violated probation and ordered him to serve his sentence.</w:t>
      </w:r>
    </w:p>
    <w:p w14:paraId="6AA34573" w14:textId="3B2A5213" w:rsidR="0050329F" w:rsidRDefault="0050329F" w:rsidP="00AC7C21">
      <w:pPr>
        <w:pStyle w:val="2TCGHeading2"/>
        <w:spacing w:line="320" w:lineRule="exact"/>
      </w:pPr>
      <w:r>
        <w:t>Arguments</w:t>
      </w:r>
    </w:p>
    <w:p w14:paraId="0FAF1273" w14:textId="57E79746" w:rsidR="008C10C7" w:rsidRPr="009A6EFA" w:rsidRDefault="008C10C7">
      <w:pPr>
        <w:pStyle w:val="Heading3"/>
        <w:keepNext w:val="0"/>
        <w:numPr>
          <w:ilvl w:val="0"/>
          <w:numId w:val="69"/>
        </w:numPr>
        <w:spacing w:line="320" w:lineRule="exact"/>
        <w:ind w:hanging="720"/>
      </w:pPr>
      <w:r w:rsidRPr="009A6EFA">
        <w:t xml:space="preserve">Issue One: </w:t>
      </w:r>
      <w:r w:rsidR="001776E2">
        <w:t>Validity of the Violation Affidavit and Warrant</w:t>
      </w:r>
    </w:p>
    <w:p w14:paraId="4A63901B" w14:textId="560D6704" w:rsidR="008C10C7" w:rsidRDefault="008C10C7">
      <w:pPr>
        <w:pStyle w:val="ListParagraph"/>
        <w:numPr>
          <w:ilvl w:val="0"/>
          <w:numId w:val="66"/>
        </w:numPr>
        <w:spacing w:after="100" w:line="320" w:lineRule="exact"/>
        <w:ind w:left="2520"/>
        <w:jc w:val="both"/>
      </w:pPr>
      <w:r w:rsidRPr="009A6EFA">
        <w:rPr>
          <w:b/>
          <w:bCs/>
        </w:rPr>
        <w:t xml:space="preserve">Defendant’s Argument: </w:t>
      </w:r>
      <w:r w:rsidR="001776E2" w:rsidRPr="001776E2">
        <w:t xml:space="preserve">The Defendant argues that the violation affidavit was not properly sworn before the trial judge or another judicial officer. </w:t>
      </w:r>
      <w:r w:rsidR="001776E2">
        <w:t xml:space="preserve"> </w:t>
      </w:r>
      <w:r w:rsidR="001776E2" w:rsidRPr="001776E2">
        <w:t xml:space="preserve">Because it was signed before a notary and the record indicates that the probation officer did not personally appear before the judge, the Defendant contends that both the affidavit and the resulting warrant were void from their inception. </w:t>
      </w:r>
      <w:r w:rsidR="001776E2">
        <w:t xml:space="preserve"> </w:t>
      </w:r>
      <w:r w:rsidR="001776E2" w:rsidRPr="001776E2">
        <w:t>He therefore maintains that the trial court lacked jurisdiction to conduct the revocation proceeding.</w:t>
      </w:r>
    </w:p>
    <w:p w14:paraId="5E7054E0" w14:textId="77777777" w:rsidR="0050329F" w:rsidRPr="009A6EFA" w:rsidRDefault="0050329F" w:rsidP="00AC7C21">
      <w:pPr>
        <w:pStyle w:val="ListParagraph"/>
        <w:spacing w:after="100" w:line="320" w:lineRule="exact"/>
        <w:ind w:left="2520"/>
        <w:jc w:val="both"/>
      </w:pPr>
    </w:p>
    <w:p w14:paraId="689C3CD7" w14:textId="0B5F56BB" w:rsidR="008C10C7" w:rsidRPr="001776E2" w:rsidRDefault="008C10C7">
      <w:pPr>
        <w:pStyle w:val="ListParagraph"/>
        <w:numPr>
          <w:ilvl w:val="0"/>
          <w:numId w:val="70"/>
        </w:numPr>
        <w:spacing w:line="320" w:lineRule="exact"/>
        <w:ind w:left="2520"/>
        <w:jc w:val="both"/>
      </w:pPr>
      <w:r w:rsidRPr="009A6EFA">
        <w:rPr>
          <w:b/>
          <w:bCs/>
        </w:rPr>
        <w:t xml:space="preserve">State’s Response: </w:t>
      </w:r>
      <w:r w:rsidR="001776E2" w:rsidRPr="001776E2">
        <w:t xml:space="preserve">The State responds that Tennessee’s probation-revocation statute does not require a sworn affidavit as a prerequisite to the court’s jurisdiction. </w:t>
      </w:r>
      <w:r w:rsidR="001776E2">
        <w:t xml:space="preserve"> </w:t>
      </w:r>
      <w:r w:rsidR="001776E2" w:rsidRPr="001776E2">
        <w:t xml:space="preserve">According to the State, the judge-authorized warrant adequately identified the alleged violation and directed the Defendant’s arrest. </w:t>
      </w:r>
      <w:r w:rsidR="001776E2">
        <w:t xml:space="preserve"> </w:t>
      </w:r>
      <w:r w:rsidR="001776E2" w:rsidRPr="001776E2">
        <w:t>The State also contends that any technical defect did not deprive the Defendant of due process because he received notice of the allegation and a full revocation hearing.</w:t>
      </w:r>
    </w:p>
    <w:p w14:paraId="4CD6E690" w14:textId="4BF18BA8" w:rsidR="008C10C7" w:rsidRPr="009A6EFA" w:rsidRDefault="008C10C7" w:rsidP="00AC7C21">
      <w:pPr>
        <w:pStyle w:val="Heading3"/>
        <w:spacing w:line="320" w:lineRule="exact"/>
      </w:pPr>
      <w:r w:rsidRPr="009A6EFA">
        <w:t xml:space="preserve">Issue Two: </w:t>
      </w:r>
      <w:r w:rsidR="001776E2">
        <w:t>Proof of the Probation Violation</w:t>
      </w:r>
    </w:p>
    <w:p w14:paraId="6B57EFB6" w14:textId="7C956C2F" w:rsidR="008C10C7" w:rsidRDefault="008C10C7">
      <w:pPr>
        <w:pStyle w:val="ListParagraph"/>
        <w:keepNext/>
        <w:numPr>
          <w:ilvl w:val="0"/>
          <w:numId w:val="70"/>
        </w:numPr>
        <w:spacing w:line="320" w:lineRule="exact"/>
        <w:ind w:left="2520"/>
        <w:jc w:val="both"/>
      </w:pPr>
      <w:r w:rsidRPr="009A6EFA">
        <w:rPr>
          <w:b/>
          <w:bCs/>
        </w:rPr>
        <w:t xml:space="preserve">Defendant’s Argument: </w:t>
      </w:r>
      <w:r w:rsidR="001776E2" w:rsidRPr="001776E2">
        <w:t xml:space="preserve">The Defendant argues that the State failed to present sufficient, reliable evidence that he possessed illegal drugs. </w:t>
      </w:r>
      <w:r w:rsidR="001776E2">
        <w:t xml:space="preserve"> </w:t>
      </w:r>
      <w:r w:rsidR="001776E2" w:rsidRPr="001776E2">
        <w:t xml:space="preserve">He contends that the officer was not qualified to identify the substances and that the State failed to establish a sufficient foundation for the field test. </w:t>
      </w:r>
      <w:r w:rsidR="001776E2">
        <w:t xml:space="preserve"> </w:t>
      </w:r>
      <w:r w:rsidR="001776E2" w:rsidRPr="001776E2">
        <w:t>He also challenges the admission of the TBI report because the analyst did not testify and the trial court did not make the required findings concerning reliability and good cause for admitting hearsay.</w:t>
      </w:r>
    </w:p>
    <w:p w14:paraId="107185B0" w14:textId="77777777" w:rsidR="0050329F" w:rsidRPr="001776E2" w:rsidRDefault="0050329F" w:rsidP="00AC7C21">
      <w:pPr>
        <w:pStyle w:val="ListParagraph"/>
        <w:keepNext/>
        <w:spacing w:line="320" w:lineRule="exact"/>
        <w:ind w:left="2520"/>
        <w:jc w:val="both"/>
      </w:pPr>
    </w:p>
    <w:p w14:paraId="39E3706E" w14:textId="18EE5A53" w:rsidR="001776E2" w:rsidRDefault="008C10C7">
      <w:pPr>
        <w:pStyle w:val="ListParagraph"/>
        <w:numPr>
          <w:ilvl w:val="0"/>
          <w:numId w:val="71"/>
        </w:numPr>
        <w:spacing w:after="100" w:line="320" w:lineRule="exact"/>
        <w:ind w:left="2520"/>
        <w:jc w:val="both"/>
      </w:pPr>
      <w:r w:rsidRPr="009A6EFA">
        <w:rPr>
          <w:b/>
          <w:bCs/>
        </w:rPr>
        <w:t xml:space="preserve">State’s Response: </w:t>
      </w:r>
      <w:r w:rsidR="001776E2" w:rsidRPr="001776E2">
        <w:t xml:space="preserve">The State argues that the hearsay challenge was waived because the Defendant did not identify it as a separate issue presented for review. </w:t>
      </w:r>
      <w:r w:rsidR="001776E2">
        <w:t xml:space="preserve"> </w:t>
      </w:r>
      <w:r w:rsidR="001776E2" w:rsidRPr="001776E2">
        <w:t xml:space="preserve">On the merits, the State maintains that the </w:t>
      </w:r>
      <w:r w:rsidR="001776E2" w:rsidRPr="001776E2">
        <w:lastRenderedPageBreak/>
        <w:t xml:space="preserve">laboratory report was reliable and that any error in admitting it was harmless. </w:t>
      </w:r>
      <w:r w:rsidR="001776E2">
        <w:t xml:space="preserve"> </w:t>
      </w:r>
      <w:r w:rsidR="001776E2" w:rsidRPr="001776E2">
        <w:t>Even without the report, the State contends that the officer’s observations, the location and packaging of the substances, and the positive field test established possession by a preponderance of the evidence.</w:t>
      </w:r>
    </w:p>
    <w:p w14:paraId="739042B3" w14:textId="5146EE08" w:rsidR="001776E2" w:rsidRPr="009A6EFA" w:rsidRDefault="001776E2" w:rsidP="00AC7C21">
      <w:pPr>
        <w:pStyle w:val="Heading3"/>
        <w:spacing w:line="320" w:lineRule="exact"/>
      </w:pPr>
      <w:r w:rsidRPr="009A6EFA">
        <w:t xml:space="preserve">Issue </w:t>
      </w:r>
      <w:r>
        <w:t>Three</w:t>
      </w:r>
      <w:r w:rsidRPr="009A6EFA">
        <w:t xml:space="preserve">: </w:t>
      </w:r>
      <w:r>
        <w:t>Full Revocation of Probation</w:t>
      </w:r>
    </w:p>
    <w:p w14:paraId="005BBE06" w14:textId="3F976926" w:rsidR="001776E2" w:rsidRDefault="001776E2">
      <w:pPr>
        <w:pStyle w:val="ListParagraph"/>
        <w:keepNext/>
        <w:numPr>
          <w:ilvl w:val="0"/>
          <w:numId w:val="71"/>
        </w:numPr>
        <w:spacing w:line="320" w:lineRule="exact"/>
        <w:ind w:left="2520"/>
        <w:jc w:val="both"/>
      </w:pPr>
      <w:r w:rsidRPr="009A6EFA">
        <w:rPr>
          <w:b/>
          <w:bCs/>
        </w:rPr>
        <w:t xml:space="preserve">Defendant’s Argument: </w:t>
      </w:r>
      <w:r w:rsidRPr="001776E2">
        <w:t>The Defendant argues that the trial court failed to make findings explaining why incarceration was the appropriate consequence.</w:t>
      </w:r>
      <w:r>
        <w:t xml:space="preserve"> </w:t>
      </w:r>
      <w:r w:rsidRPr="001776E2">
        <w:t xml:space="preserve"> Under the two-step analysis governing probation revocations, he contends that the court was required to determine both whether a violation occurred and what consequence was appropriate. </w:t>
      </w:r>
      <w:r>
        <w:t xml:space="preserve"> </w:t>
      </w:r>
      <w:r w:rsidRPr="001776E2">
        <w:t>He asks for a new revocation hearing at which the court must make the required findings.</w:t>
      </w:r>
    </w:p>
    <w:p w14:paraId="2EBC196B" w14:textId="77777777" w:rsidR="0050329F" w:rsidRPr="001776E2" w:rsidRDefault="0050329F" w:rsidP="00AC7C21">
      <w:pPr>
        <w:pStyle w:val="ListParagraph"/>
        <w:keepNext/>
        <w:spacing w:line="320" w:lineRule="exact"/>
        <w:ind w:left="2520"/>
        <w:jc w:val="both"/>
      </w:pPr>
    </w:p>
    <w:p w14:paraId="5A959C5B" w14:textId="4FAB0E90" w:rsidR="001776E2" w:rsidRDefault="001776E2">
      <w:pPr>
        <w:pStyle w:val="ListParagraph"/>
        <w:numPr>
          <w:ilvl w:val="0"/>
          <w:numId w:val="72"/>
        </w:numPr>
        <w:spacing w:after="100" w:line="320" w:lineRule="exact"/>
        <w:ind w:left="2520"/>
        <w:jc w:val="both"/>
      </w:pPr>
      <w:r w:rsidRPr="009A6EFA">
        <w:rPr>
          <w:b/>
          <w:bCs/>
        </w:rPr>
        <w:t xml:space="preserve">State’s Response: </w:t>
      </w:r>
      <w:r w:rsidRPr="001776E2">
        <w:t xml:space="preserve">The State acknowledges that the trial court did not place specific findings on the record but asks the court to review the consequence </w:t>
      </w:r>
      <w:r w:rsidR="00876718">
        <w:t xml:space="preserve">determination </w:t>
      </w:r>
      <w:r w:rsidRPr="001776E2">
        <w:t xml:space="preserve">de novo. </w:t>
      </w:r>
      <w:r>
        <w:t xml:space="preserve"> </w:t>
      </w:r>
      <w:r w:rsidRPr="001776E2">
        <w:t>The State argues that the Defendant committed a serious drug offense less than two months after beginning an eight-year probationary sentence, demonstrating that he was not amenable to rehabilitation and supporting full revocation.</w:t>
      </w:r>
    </w:p>
    <w:p w14:paraId="4AACDF7B" w14:textId="77777777" w:rsidR="001776E2" w:rsidRDefault="001776E2" w:rsidP="00AC7C21">
      <w:pPr>
        <w:spacing w:after="100" w:line="320" w:lineRule="exact"/>
        <w:jc w:val="both"/>
      </w:pPr>
    </w:p>
    <w:p w14:paraId="08F81C10" w14:textId="77777777" w:rsidR="001776E2" w:rsidRDefault="001776E2" w:rsidP="00AC7C21">
      <w:pPr>
        <w:spacing w:after="100" w:line="320" w:lineRule="exact"/>
        <w:jc w:val="both"/>
      </w:pPr>
    </w:p>
    <w:p w14:paraId="15957471" w14:textId="77777777" w:rsidR="001776E2" w:rsidRDefault="001776E2" w:rsidP="00AC7C21">
      <w:pPr>
        <w:spacing w:after="100" w:line="320" w:lineRule="exact"/>
        <w:jc w:val="both"/>
      </w:pPr>
    </w:p>
    <w:p w14:paraId="342B89D5" w14:textId="77777777" w:rsidR="001776E2" w:rsidRDefault="001776E2" w:rsidP="00AC7C21">
      <w:pPr>
        <w:spacing w:after="100" w:line="320" w:lineRule="exact"/>
        <w:jc w:val="both"/>
      </w:pPr>
    </w:p>
    <w:p w14:paraId="71DE9ABF" w14:textId="77777777" w:rsidR="0050329F" w:rsidRDefault="0050329F" w:rsidP="00AC7C21">
      <w:pPr>
        <w:spacing w:line="320" w:lineRule="exact"/>
        <w:rPr>
          <w:b/>
          <w:bCs/>
          <w:i/>
          <w:iCs/>
        </w:rPr>
      </w:pPr>
      <w:r>
        <w:rPr>
          <w:b/>
          <w:bCs/>
          <w:i/>
          <w:iCs/>
        </w:rPr>
        <w:br w:type="page"/>
      </w:r>
    </w:p>
    <w:p w14:paraId="4D607F0A" w14:textId="0B1DB969" w:rsidR="0050329F" w:rsidRPr="004E2244" w:rsidRDefault="0050329F" w:rsidP="00AC7C21">
      <w:pPr>
        <w:pStyle w:val="1CenteredMainHeading"/>
        <w:spacing w:line="320" w:lineRule="exact"/>
        <w:rPr>
          <w:i w:val="0"/>
          <w:iCs w:val="0"/>
        </w:rPr>
      </w:pPr>
      <w:r w:rsidRPr="009A6EFA">
        <w:lastRenderedPageBreak/>
        <w:t xml:space="preserve">State v. </w:t>
      </w:r>
      <w:r>
        <w:t>Clifton Cox</w:t>
      </w:r>
      <w:r w:rsidRPr="004E2244">
        <w:rPr>
          <w:i w:val="0"/>
          <w:iCs w:val="0"/>
        </w:rPr>
        <w:t>, No</w:t>
      </w:r>
      <w:r w:rsidR="001776E2" w:rsidRPr="004E2244">
        <w:rPr>
          <w:i w:val="0"/>
          <w:iCs w:val="0"/>
        </w:rPr>
        <w:t>. W2025-00723-CCA-R3-CD</w:t>
      </w:r>
    </w:p>
    <w:p w14:paraId="5FFDD802" w14:textId="6E9CAA5F" w:rsidR="0050329F" w:rsidRDefault="00AC7C21">
      <w:pPr>
        <w:pStyle w:val="2TCGHeading2"/>
        <w:numPr>
          <w:ilvl w:val="0"/>
          <w:numId w:val="73"/>
        </w:numPr>
        <w:spacing w:after="480" w:line="320" w:lineRule="exact"/>
        <w:ind w:left="1440" w:hanging="720"/>
      </w:pPr>
      <w:r>
        <w:t>Lawyers Involved</w:t>
      </w:r>
    </w:p>
    <w:p w14:paraId="238D27A9" w14:textId="2ACC44BC" w:rsidR="0050329F" w:rsidRDefault="001776E2">
      <w:pPr>
        <w:pStyle w:val="ListParagraph"/>
        <w:numPr>
          <w:ilvl w:val="0"/>
          <w:numId w:val="75"/>
        </w:numPr>
        <w:spacing w:before="320" w:after="80" w:line="320" w:lineRule="exact"/>
        <w:ind w:left="1800"/>
      </w:pPr>
      <w:r>
        <w:t>Josie S. Holland</w:t>
      </w:r>
      <w:r w:rsidRPr="009A6EFA">
        <w:t xml:space="preserve"> (for the Defendant</w:t>
      </w:r>
      <w:r w:rsidR="00A93E2C">
        <w:t>)</w:t>
      </w:r>
      <w:r w:rsidR="0050329F">
        <w:t xml:space="preserve"> </w:t>
      </w:r>
    </w:p>
    <w:p w14:paraId="4A54B565" w14:textId="28C56658" w:rsidR="001776E2" w:rsidRPr="001776E2" w:rsidRDefault="001776E2">
      <w:pPr>
        <w:pStyle w:val="ListParagraph"/>
        <w:numPr>
          <w:ilvl w:val="0"/>
          <w:numId w:val="75"/>
        </w:numPr>
        <w:spacing w:before="320" w:after="80" w:line="320" w:lineRule="exact"/>
        <w:ind w:left="1800"/>
      </w:pPr>
      <w:r>
        <w:t>Ronald L. Coleman</w:t>
      </w:r>
      <w:r w:rsidRPr="009A6EFA">
        <w:t xml:space="preserve">, </w:t>
      </w:r>
      <w:r w:rsidR="00FE3CC4">
        <w:t xml:space="preserve">Senior </w:t>
      </w:r>
      <w:r w:rsidRPr="009A6EFA">
        <w:t>Assistant Attorney General (for the State)</w:t>
      </w:r>
    </w:p>
    <w:p w14:paraId="2EBFAEB2" w14:textId="77777777" w:rsidR="001776E2" w:rsidRPr="009A6EFA" w:rsidRDefault="001776E2" w:rsidP="00AC7C21">
      <w:pPr>
        <w:pStyle w:val="2TCGHeading2"/>
        <w:spacing w:line="320" w:lineRule="exact"/>
      </w:pPr>
      <w:r w:rsidRPr="009A6EFA">
        <w:t>Issues Presented</w:t>
      </w:r>
    </w:p>
    <w:p w14:paraId="51854046" w14:textId="77777777" w:rsidR="00E706A9" w:rsidRDefault="00E706A9">
      <w:pPr>
        <w:pStyle w:val="NormalWeb"/>
        <w:numPr>
          <w:ilvl w:val="0"/>
          <w:numId w:val="88"/>
        </w:numPr>
        <w:spacing w:line="320" w:lineRule="exact"/>
        <w:ind w:left="1800"/>
        <w:rPr>
          <w:color w:val="000000"/>
        </w:rPr>
      </w:pPr>
      <w:r w:rsidRPr="00E706A9">
        <w:rPr>
          <w:color w:val="000000"/>
        </w:rPr>
        <w:t>Whether the trial court erred in declining to bifurcate the felon-in-possession charge.</w:t>
      </w:r>
    </w:p>
    <w:p w14:paraId="435335F0" w14:textId="77777777" w:rsidR="00E706A9" w:rsidRPr="00E706A9" w:rsidRDefault="00E706A9" w:rsidP="00E706A9">
      <w:pPr>
        <w:pStyle w:val="NormalWeb"/>
        <w:spacing w:line="320" w:lineRule="exact"/>
        <w:ind w:left="1800"/>
        <w:rPr>
          <w:color w:val="000000"/>
        </w:rPr>
      </w:pPr>
    </w:p>
    <w:p w14:paraId="7FFFA607" w14:textId="77777777" w:rsidR="00E706A9" w:rsidRPr="00E706A9" w:rsidRDefault="00E706A9">
      <w:pPr>
        <w:pStyle w:val="NormalWeb"/>
        <w:numPr>
          <w:ilvl w:val="0"/>
          <w:numId w:val="88"/>
        </w:numPr>
        <w:spacing w:line="320" w:lineRule="exact"/>
        <w:ind w:left="1800"/>
        <w:rPr>
          <w:color w:val="000000"/>
        </w:rPr>
      </w:pPr>
      <w:r w:rsidRPr="00E706A9">
        <w:rPr>
          <w:color w:val="000000"/>
        </w:rPr>
        <w:t>Whether the trial court erred in admitting evidence of the handgun recovered when the Defendant was arrested.</w:t>
      </w:r>
    </w:p>
    <w:p w14:paraId="0F53F315" w14:textId="77777777" w:rsidR="00E706A9" w:rsidRDefault="00E706A9" w:rsidP="00E706A9">
      <w:pPr>
        <w:pStyle w:val="NormalWeb"/>
        <w:spacing w:line="320" w:lineRule="exact"/>
        <w:ind w:left="1800"/>
        <w:rPr>
          <w:color w:val="000000"/>
        </w:rPr>
      </w:pPr>
    </w:p>
    <w:p w14:paraId="0D914A44" w14:textId="6A490BBB" w:rsidR="00E706A9" w:rsidRPr="00E706A9" w:rsidRDefault="00E706A9">
      <w:pPr>
        <w:pStyle w:val="NormalWeb"/>
        <w:numPr>
          <w:ilvl w:val="0"/>
          <w:numId w:val="88"/>
        </w:numPr>
        <w:spacing w:line="320" w:lineRule="exact"/>
        <w:ind w:left="1800"/>
        <w:rPr>
          <w:color w:val="000000"/>
        </w:rPr>
      </w:pPr>
      <w:r w:rsidRPr="00E706A9">
        <w:rPr>
          <w:color w:val="000000"/>
        </w:rPr>
        <w:t>Whether the trial court erred in limiting cross-examination of the victim concerning a prior conviction.</w:t>
      </w:r>
    </w:p>
    <w:p w14:paraId="1A6ABCB5" w14:textId="77777777" w:rsidR="00E706A9" w:rsidRDefault="00E706A9" w:rsidP="00E706A9">
      <w:pPr>
        <w:pStyle w:val="NormalWeb"/>
        <w:spacing w:line="320" w:lineRule="exact"/>
        <w:ind w:left="1800"/>
        <w:rPr>
          <w:color w:val="000000"/>
        </w:rPr>
      </w:pPr>
    </w:p>
    <w:p w14:paraId="19DABF96" w14:textId="22A1208E" w:rsidR="00E706A9" w:rsidRPr="00E706A9" w:rsidRDefault="00E706A9">
      <w:pPr>
        <w:pStyle w:val="NormalWeb"/>
        <w:numPr>
          <w:ilvl w:val="0"/>
          <w:numId w:val="88"/>
        </w:numPr>
        <w:spacing w:line="320" w:lineRule="exact"/>
        <w:ind w:left="1800"/>
        <w:rPr>
          <w:color w:val="000000"/>
        </w:rPr>
      </w:pPr>
      <w:r w:rsidRPr="00E706A9">
        <w:rPr>
          <w:color w:val="000000"/>
        </w:rPr>
        <w:t>Whether the evidence was sufficient to support the Defendant’s convictions.</w:t>
      </w:r>
    </w:p>
    <w:p w14:paraId="3272D558" w14:textId="77777777" w:rsidR="00E706A9" w:rsidRDefault="00E706A9" w:rsidP="00E706A9">
      <w:pPr>
        <w:pStyle w:val="NormalWeb"/>
        <w:spacing w:line="320" w:lineRule="exact"/>
        <w:ind w:left="1800"/>
        <w:rPr>
          <w:color w:val="000000"/>
        </w:rPr>
      </w:pPr>
    </w:p>
    <w:p w14:paraId="2BD9ED45" w14:textId="0BD62C6C" w:rsidR="001776E2" w:rsidRDefault="00E706A9">
      <w:pPr>
        <w:pStyle w:val="NormalWeb"/>
        <w:numPr>
          <w:ilvl w:val="0"/>
          <w:numId w:val="88"/>
        </w:numPr>
        <w:spacing w:line="320" w:lineRule="exact"/>
        <w:ind w:left="1800"/>
        <w:rPr>
          <w:color w:val="000000"/>
        </w:rPr>
      </w:pPr>
      <w:r w:rsidRPr="00E706A9">
        <w:rPr>
          <w:color w:val="000000"/>
        </w:rPr>
        <w:t>Whether the trial court abused its sentencing discretion or entered internally inconsistent sentencing determinations</w:t>
      </w:r>
      <w:r w:rsidR="001776E2">
        <w:rPr>
          <w:color w:val="000000"/>
        </w:rPr>
        <w:t>.</w:t>
      </w:r>
    </w:p>
    <w:p w14:paraId="04B92FAC" w14:textId="77777777" w:rsidR="001776E2" w:rsidRPr="009A6EFA" w:rsidRDefault="001776E2" w:rsidP="00AC7C21">
      <w:pPr>
        <w:pStyle w:val="2TCGHeading2"/>
        <w:spacing w:line="320" w:lineRule="exact"/>
      </w:pPr>
      <w:r w:rsidRPr="009A6EFA">
        <w:t>Factual Background</w:t>
      </w:r>
    </w:p>
    <w:p w14:paraId="6A0CB5C1" w14:textId="58CAE0A8" w:rsidR="00451E82" w:rsidRDefault="00451E82" w:rsidP="00AC7C21">
      <w:pPr>
        <w:pStyle w:val="AOpinionTextStyle"/>
      </w:pPr>
      <w:r>
        <w:t xml:space="preserve">The charges arose from the December 2020 shooting of David Dunlap at a Memphis gas station.  The victim had known the Defendant for approximately thirty years and had previously allowed him to live </w:t>
      </w:r>
      <w:r w:rsidR="002225AF">
        <w:t>in the victim’s home</w:t>
      </w:r>
      <w:r>
        <w:t>.  According to the victim, the Defendant believed that the victim had been involved with the Defendant’s former wife or had fathered her child.</w:t>
      </w:r>
    </w:p>
    <w:p w14:paraId="04A5AFDE" w14:textId="0CD8CFF5" w:rsidR="00451E82" w:rsidRDefault="00451E82" w:rsidP="00AC7C21">
      <w:pPr>
        <w:pStyle w:val="AOpinionTextStyle"/>
      </w:pPr>
      <w:r>
        <w:t>The victim testified that the shooter opened his vehicle door and repeatedly fired at him, causing numerous gunshot wounds and serious injuries to his pelvis, wrist, and leg.  Although the victim did not clearly see the shooter’s face, he recognized the Defendant’s voice and build and identified him to the police shortly after the shooting.  Officers recovered .40-caliber cartridge casings and bullets from the scene.</w:t>
      </w:r>
    </w:p>
    <w:p w14:paraId="635889B3" w14:textId="30C2C83A" w:rsidR="00451E82" w:rsidRDefault="00023A1E" w:rsidP="00AC7C21">
      <w:pPr>
        <w:pStyle w:val="AOpinionTextStyle"/>
      </w:pPr>
      <w:r w:rsidRPr="00023A1E">
        <w:lastRenderedPageBreak/>
        <w:t>Approximately one week later, officers located the Defendant inside a residence and found a .40-caliber handgun nearby</w:t>
      </w:r>
      <w:r w:rsidR="00451E82">
        <w:t>.  Testing showed that the weapon shared class characteristics with the firearm used in the shooting, although the examiner could not conclusively match it to the recovered ammunition.  The jury convicted the Defendant of attempted first-degree murder resulting in serious bodily injury, aggravated assault, employing a firearm during the commission of a dangerous felony, and possessing a handgun after having been convicted of a violent felony.  The trial court imposed consecutive sentences totaling sixty-five years.</w:t>
      </w:r>
    </w:p>
    <w:p w14:paraId="6D1554B2" w14:textId="69AC6E77" w:rsidR="0050329F" w:rsidRDefault="0050329F" w:rsidP="00AC7C21">
      <w:pPr>
        <w:pStyle w:val="2TCGHeading2"/>
        <w:spacing w:line="320" w:lineRule="exact"/>
      </w:pPr>
      <w:r>
        <w:t>Arguments</w:t>
      </w:r>
    </w:p>
    <w:p w14:paraId="20F9FAFD" w14:textId="01E94554" w:rsidR="001776E2" w:rsidRPr="009A6EFA" w:rsidRDefault="001776E2">
      <w:pPr>
        <w:pStyle w:val="Heading3"/>
        <w:keepNext w:val="0"/>
        <w:numPr>
          <w:ilvl w:val="0"/>
          <w:numId w:val="76"/>
        </w:numPr>
        <w:spacing w:line="320" w:lineRule="exact"/>
        <w:ind w:hanging="720"/>
      </w:pPr>
      <w:r w:rsidRPr="009A6EFA">
        <w:t xml:space="preserve">Issue One: </w:t>
      </w:r>
      <w:r w:rsidR="00451E82">
        <w:t>Bifurcation of the Felon-in-Possession Charge</w:t>
      </w:r>
    </w:p>
    <w:p w14:paraId="311E79F4" w14:textId="7EB5D8E2" w:rsidR="001776E2" w:rsidRDefault="001776E2">
      <w:pPr>
        <w:pStyle w:val="ListParagraph"/>
        <w:numPr>
          <w:ilvl w:val="0"/>
          <w:numId w:val="74"/>
        </w:numPr>
        <w:spacing w:after="100" w:line="320" w:lineRule="exact"/>
        <w:ind w:left="2520"/>
        <w:jc w:val="both"/>
      </w:pPr>
      <w:r w:rsidRPr="009A6EFA">
        <w:rPr>
          <w:b/>
          <w:bCs/>
        </w:rPr>
        <w:t xml:space="preserve">Defendant’s Argument: </w:t>
      </w:r>
      <w:r w:rsidR="00451E82" w:rsidRPr="00451E82">
        <w:t xml:space="preserve">The Defendant argues that the felon-in-possession charge should have been tried separately so the jury deciding the remaining charges would not learn that he had a prior violent felony conviction. </w:t>
      </w:r>
      <w:r w:rsidR="002426FA">
        <w:t xml:space="preserve"> </w:t>
      </w:r>
      <w:r w:rsidR="00451E82" w:rsidRPr="00451E82">
        <w:t>He contends that the stipulation identifying his prior conviction as an aggravated assault involving violence created an impermissible risk that the jury would view him as violent or prone to committing the charged offenses.</w:t>
      </w:r>
    </w:p>
    <w:p w14:paraId="40D2877E" w14:textId="77777777" w:rsidR="0050329F" w:rsidRPr="009A6EFA" w:rsidRDefault="0050329F" w:rsidP="00AC7C21">
      <w:pPr>
        <w:pStyle w:val="ListParagraph"/>
        <w:spacing w:after="100" w:line="320" w:lineRule="exact"/>
        <w:ind w:left="2520"/>
        <w:jc w:val="both"/>
      </w:pPr>
    </w:p>
    <w:p w14:paraId="79394866" w14:textId="0FB6545D" w:rsidR="001776E2" w:rsidRPr="001776E2" w:rsidRDefault="001776E2">
      <w:pPr>
        <w:pStyle w:val="ListParagraph"/>
        <w:numPr>
          <w:ilvl w:val="0"/>
          <w:numId w:val="77"/>
        </w:numPr>
        <w:spacing w:line="320" w:lineRule="exact"/>
        <w:ind w:left="2520"/>
        <w:jc w:val="both"/>
      </w:pPr>
      <w:r w:rsidRPr="009A6EFA">
        <w:rPr>
          <w:b/>
          <w:bCs/>
        </w:rPr>
        <w:t xml:space="preserve">State’s Response: </w:t>
      </w:r>
      <w:r w:rsidR="002426FA" w:rsidRPr="002426FA">
        <w:t xml:space="preserve">The State responds that bifurcation was not mandatory and that the parties’ stipulation was an accepted means of proving the prior-conviction element without introducing unnecessary details. </w:t>
      </w:r>
      <w:r w:rsidR="002426FA">
        <w:t xml:space="preserve"> </w:t>
      </w:r>
      <w:r w:rsidR="002426FA" w:rsidRPr="002426FA">
        <w:t>The jury received limiting instructions, and its decision to acquit the Defendant of one charged offense and return a lesser conviction on another demonstrates that it evaluated the evidence rather than deciding the case based on propensity.</w:t>
      </w:r>
    </w:p>
    <w:p w14:paraId="259B6B31" w14:textId="7B89757A" w:rsidR="001776E2" w:rsidRPr="009A6EFA" w:rsidRDefault="001776E2" w:rsidP="00AC7C21">
      <w:pPr>
        <w:pStyle w:val="Heading3"/>
        <w:spacing w:line="320" w:lineRule="exact"/>
      </w:pPr>
      <w:r w:rsidRPr="009A6EFA">
        <w:t xml:space="preserve">Issue Two: </w:t>
      </w:r>
      <w:r w:rsidR="002426FA">
        <w:t>Admission of the Handgun</w:t>
      </w:r>
    </w:p>
    <w:p w14:paraId="566BED1F" w14:textId="6ED38C79" w:rsidR="001776E2" w:rsidRDefault="001776E2">
      <w:pPr>
        <w:pStyle w:val="ListParagraph"/>
        <w:keepNext/>
        <w:numPr>
          <w:ilvl w:val="0"/>
          <w:numId w:val="77"/>
        </w:numPr>
        <w:spacing w:line="320" w:lineRule="exact"/>
        <w:ind w:left="2520"/>
        <w:jc w:val="both"/>
      </w:pPr>
      <w:r w:rsidRPr="009A6EFA">
        <w:rPr>
          <w:b/>
          <w:bCs/>
        </w:rPr>
        <w:t xml:space="preserve">Defendant’s Argument: </w:t>
      </w:r>
      <w:r w:rsidR="002426FA" w:rsidRPr="002426FA">
        <w:t xml:space="preserve">The Defendant argues that the handgun recovered at the time of his arrest should have been excluded because the State could not conclusively connect it to the shooting. </w:t>
      </w:r>
      <w:r w:rsidR="002426FA">
        <w:t xml:space="preserve"> </w:t>
      </w:r>
      <w:r w:rsidR="002426FA" w:rsidRPr="002426FA">
        <w:t>He maintains that the weapon had little probative value and invited the jury to infer that he was guilty merely because a firearm was found near him.</w:t>
      </w:r>
    </w:p>
    <w:p w14:paraId="5FF794F5" w14:textId="77777777" w:rsidR="0050329F" w:rsidRPr="001776E2" w:rsidRDefault="0050329F" w:rsidP="00AC7C21">
      <w:pPr>
        <w:pStyle w:val="ListParagraph"/>
        <w:keepNext/>
        <w:spacing w:line="320" w:lineRule="exact"/>
        <w:ind w:left="2520"/>
        <w:jc w:val="both"/>
      </w:pPr>
    </w:p>
    <w:p w14:paraId="68F2A177" w14:textId="5FCC0023" w:rsidR="001776E2" w:rsidRPr="002426FA" w:rsidRDefault="001776E2">
      <w:pPr>
        <w:pStyle w:val="ListParagraph"/>
        <w:numPr>
          <w:ilvl w:val="0"/>
          <w:numId w:val="78"/>
        </w:numPr>
        <w:spacing w:after="100" w:line="320" w:lineRule="exact"/>
        <w:ind w:left="2520"/>
        <w:jc w:val="both"/>
      </w:pPr>
      <w:r w:rsidRPr="009A6EFA">
        <w:rPr>
          <w:b/>
          <w:bCs/>
        </w:rPr>
        <w:t xml:space="preserve">State’s Response: </w:t>
      </w:r>
      <w:r w:rsidR="002426FA" w:rsidRPr="002426FA">
        <w:t xml:space="preserve">The State argues that the handgun was relevant circumstantial evidence of identity. </w:t>
      </w:r>
      <w:r w:rsidR="002426FA">
        <w:t xml:space="preserve"> </w:t>
      </w:r>
      <w:r w:rsidR="002426FA" w:rsidRPr="002426FA">
        <w:t xml:space="preserve">It was recovered near the Defendant </w:t>
      </w:r>
      <w:r w:rsidR="002426FA" w:rsidRPr="002426FA">
        <w:lastRenderedPageBreak/>
        <w:t xml:space="preserve">only about a week after the shooting, was the same caliber as the weapon used, and shared pertinent class characteristics with the recovered ammunition. </w:t>
      </w:r>
      <w:r w:rsidR="002426FA">
        <w:t xml:space="preserve"> </w:t>
      </w:r>
      <w:r w:rsidR="002426FA" w:rsidRPr="002426FA">
        <w:t>The State maintains that the inability to make a conclusive forensic match affected the evidence’s weight, not its admissibility.</w:t>
      </w:r>
    </w:p>
    <w:p w14:paraId="3F292EB1" w14:textId="53512CC5" w:rsidR="001776E2" w:rsidRPr="009A6EFA" w:rsidRDefault="001776E2" w:rsidP="00AC7C21">
      <w:pPr>
        <w:pStyle w:val="Heading3"/>
        <w:spacing w:line="320" w:lineRule="exact"/>
      </w:pPr>
      <w:r w:rsidRPr="009A6EFA">
        <w:t xml:space="preserve">Issue </w:t>
      </w:r>
      <w:r>
        <w:t>Three</w:t>
      </w:r>
      <w:r w:rsidRPr="009A6EFA">
        <w:t xml:space="preserve">: </w:t>
      </w:r>
      <w:r w:rsidR="002426FA">
        <w:t>Limitation of Cross-Examination</w:t>
      </w:r>
    </w:p>
    <w:p w14:paraId="29F11BB0" w14:textId="70DE4957" w:rsidR="001776E2" w:rsidRDefault="001776E2">
      <w:pPr>
        <w:pStyle w:val="ListParagraph"/>
        <w:keepNext/>
        <w:numPr>
          <w:ilvl w:val="0"/>
          <w:numId w:val="78"/>
        </w:numPr>
        <w:spacing w:line="320" w:lineRule="exact"/>
        <w:ind w:left="2520"/>
        <w:jc w:val="both"/>
      </w:pPr>
      <w:r w:rsidRPr="009A6EFA">
        <w:rPr>
          <w:b/>
          <w:bCs/>
        </w:rPr>
        <w:t xml:space="preserve">Defendant’s Argument: </w:t>
      </w:r>
      <w:r w:rsidR="002426FA" w:rsidRPr="002426FA">
        <w:t xml:space="preserve">The Defendant contends that the trial court violated his confrontation rights and his right to present a defense by preventing him from questioning the victim about a 2013 conviction for possessing a firearm as a convicted felon. </w:t>
      </w:r>
      <w:r w:rsidR="002426FA">
        <w:t xml:space="preserve"> </w:t>
      </w:r>
      <w:r w:rsidR="002426FA" w:rsidRPr="002426FA">
        <w:t>He argues that the conviction was relevant to the victim’s credibility and possible access to firearms.</w:t>
      </w:r>
    </w:p>
    <w:p w14:paraId="0C48B9F9" w14:textId="77777777" w:rsidR="0050329F" w:rsidRPr="001776E2" w:rsidRDefault="0050329F" w:rsidP="00AC7C21">
      <w:pPr>
        <w:pStyle w:val="ListParagraph"/>
        <w:keepNext/>
        <w:spacing w:line="320" w:lineRule="exact"/>
        <w:ind w:left="2520"/>
        <w:jc w:val="both"/>
      </w:pPr>
    </w:p>
    <w:p w14:paraId="655193FF" w14:textId="6D6A7E24" w:rsidR="002426FA" w:rsidRPr="002426FA" w:rsidRDefault="001776E2">
      <w:pPr>
        <w:pStyle w:val="ListParagraph"/>
        <w:numPr>
          <w:ilvl w:val="0"/>
          <w:numId w:val="79"/>
        </w:numPr>
        <w:spacing w:after="100" w:line="320" w:lineRule="exact"/>
        <w:ind w:left="2520"/>
        <w:jc w:val="both"/>
      </w:pPr>
      <w:r w:rsidRPr="009A6EFA">
        <w:rPr>
          <w:b/>
          <w:bCs/>
        </w:rPr>
        <w:t xml:space="preserve">State’s Response: </w:t>
      </w:r>
      <w:r w:rsidR="002426FA" w:rsidRPr="002426FA">
        <w:t xml:space="preserve">The State argues that the constitutional theories were waived because the Defendant relied primarily on the evidentiary impeachment rule in the trial court and did not properly preserve the constitutional claims. </w:t>
      </w:r>
      <w:r w:rsidR="002426FA">
        <w:t xml:space="preserve"> </w:t>
      </w:r>
      <w:r w:rsidR="002426FA" w:rsidRPr="002426FA">
        <w:t>The State further contends that the conviction had minimal bearing on credibility, could have encouraged improper speculation about an unidentified predicate felony, and was cumulative because the defense was permitted to impeach the victim with another felony conviction.</w:t>
      </w:r>
    </w:p>
    <w:p w14:paraId="3958863C" w14:textId="33950D59" w:rsidR="002426FA" w:rsidRPr="009A6EFA" w:rsidRDefault="002426FA" w:rsidP="00AC7C21">
      <w:pPr>
        <w:pStyle w:val="Heading3"/>
        <w:spacing w:line="320" w:lineRule="exact"/>
      </w:pPr>
      <w:r w:rsidRPr="009A6EFA">
        <w:t xml:space="preserve">Issue </w:t>
      </w:r>
      <w:r>
        <w:t>Four</w:t>
      </w:r>
      <w:r w:rsidRPr="009A6EFA">
        <w:t xml:space="preserve">: </w:t>
      </w:r>
      <w:r>
        <w:t>Sufficiency of the Evidence</w:t>
      </w:r>
    </w:p>
    <w:p w14:paraId="14227CF2" w14:textId="1A60548F" w:rsidR="002426FA" w:rsidRDefault="002426FA">
      <w:pPr>
        <w:pStyle w:val="ListParagraph"/>
        <w:keepNext/>
        <w:numPr>
          <w:ilvl w:val="0"/>
          <w:numId w:val="79"/>
        </w:numPr>
        <w:spacing w:line="320" w:lineRule="exact"/>
        <w:ind w:left="2520"/>
        <w:jc w:val="both"/>
      </w:pPr>
      <w:r w:rsidRPr="009A6EFA">
        <w:rPr>
          <w:b/>
          <w:bCs/>
        </w:rPr>
        <w:t xml:space="preserve">Defendant’s Argument: </w:t>
      </w:r>
      <w:r w:rsidRPr="002426FA">
        <w:t xml:space="preserve">The Defendant argues that the proof did not establish his identity as the shooter beyond a reasonable doubt. </w:t>
      </w:r>
      <w:r>
        <w:t xml:space="preserve"> </w:t>
      </w:r>
      <w:r w:rsidRPr="002426FA">
        <w:t>He emphasizes that the victim did not clearly see the shooter, that the identification rested primarily on voice and body type, and that the recovered handgun could not be conclusively connected to the shooting.</w:t>
      </w:r>
    </w:p>
    <w:p w14:paraId="031EE861" w14:textId="77777777" w:rsidR="0050329F" w:rsidRPr="001776E2" w:rsidRDefault="0050329F" w:rsidP="00AC7C21">
      <w:pPr>
        <w:pStyle w:val="ListParagraph"/>
        <w:keepNext/>
        <w:spacing w:line="320" w:lineRule="exact"/>
        <w:ind w:left="2520"/>
        <w:jc w:val="both"/>
      </w:pPr>
    </w:p>
    <w:p w14:paraId="0A201EE4" w14:textId="366B1D75" w:rsidR="002426FA" w:rsidRDefault="002426FA">
      <w:pPr>
        <w:pStyle w:val="ListParagraph"/>
        <w:numPr>
          <w:ilvl w:val="0"/>
          <w:numId w:val="80"/>
        </w:numPr>
        <w:spacing w:after="100" w:line="320" w:lineRule="exact"/>
        <w:ind w:left="2520"/>
        <w:jc w:val="both"/>
      </w:pPr>
      <w:r w:rsidRPr="009A6EFA">
        <w:rPr>
          <w:b/>
          <w:bCs/>
        </w:rPr>
        <w:t xml:space="preserve">State’s Response: </w:t>
      </w:r>
      <w:r w:rsidRPr="002426FA">
        <w:t xml:space="preserve">The State maintains that the victim had known the Defendant for decades, recognized his voice and build, and identified him shortly after the shooting. </w:t>
      </w:r>
      <w:r>
        <w:t xml:space="preserve"> </w:t>
      </w:r>
      <w:r w:rsidRPr="002426FA">
        <w:t xml:space="preserve">That testimony was corroborated by evidence that a handgun of the proper caliber was found near the Defendant approximately one week later. </w:t>
      </w:r>
      <w:r>
        <w:t xml:space="preserve"> </w:t>
      </w:r>
      <w:r w:rsidRPr="002426FA">
        <w:t>The State argues that any inconsistencies or weaknesses in the identification were matters for the jury to evaluate.</w:t>
      </w:r>
    </w:p>
    <w:p w14:paraId="27D14B92" w14:textId="544EA776" w:rsidR="00C96089" w:rsidRPr="009A6EFA" w:rsidRDefault="00C96089" w:rsidP="00AC7C21">
      <w:pPr>
        <w:pStyle w:val="Heading3"/>
        <w:spacing w:line="320" w:lineRule="exact"/>
      </w:pPr>
      <w:r w:rsidRPr="009A6EFA">
        <w:lastRenderedPageBreak/>
        <w:t xml:space="preserve">Issue </w:t>
      </w:r>
      <w:r>
        <w:t>Five</w:t>
      </w:r>
      <w:r w:rsidRPr="009A6EFA">
        <w:t xml:space="preserve">: </w:t>
      </w:r>
      <w:r>
        <w:t>Sentencing</w:t>
      </w:r>
    </w:p>
    <w:p w14:paraId="234CF562" w14:textId="0C67D05D" w:rsidR="00C96089" w:rsidRDefault="00C96089">
      <w:pPr>
        <w:pStyle w:val="ListParagraph"/>
        <w:keepNext/>
        <w:numPr>
          <w:ilvl w:val="0"/>
          <w:numId w:val="80"/>
        </w:numPr>
        <w:spacing w:line="320" w:lineRule="exact"/>
        <w:ind w:left="2520"/>
        <w:jc w:val="both"/>
      </w:pPr>
      <w:r w:rsidRPr="009A6EFA">
        <w:rPr>
          <w:b/>
          <w:bCs/>
        </w:rPr>
        <w:t xml:space="preserve">Defendant’s Argument: </w:t>
      </w:r>
      <w:r w:rsidRPr="00C96089">
        <w:t xml:space="preserve">The Defendant challenges his effective sixty-five-year sentence as ambiguous, excessive, and disproportionate. </w:t>
      </w:r>
      <w:r>
        <w:t xml:space="preserve"> </w:t>
      </w:r>
      <w:r w:rsidRPr="00C96089">
        <w:t>He notes that the trial court referred at one point to a sixty-year sentence, declined to apply provocation as a mitigating factor, placed extreme weight on enhancement factors—including alleged conduct that did not result in convictions—and imposed maximum, consecutive sentences on every count.</w:t>
      </w:r>
    </w:p>
    <w:p w14:paraId="272426E0" w14:textId="77777777" w:rsidR="0050329F" w:rsidRPr="001776E2" w:rsidRDefault="0050329F" w:rsidP="00AC7C21">
      <w:pPr>
        <w:pStyle w:val="ListParagraph"/>
        <w:keepNext/>
        <w:spacing w:line="320" w:lineRule="exact"/>
        <w:ind w:left="2520"/>
        <w:jc w:val="both"/>
      </w:pPr>
    </w:p>
    <w:p w14:paraId="5A6E862B" w14:textId="155771D4" w:rsidR="00C96089" w:rsidRPr="009A6EFA" w:rsidRDefault="00C96089">
      <w:pPr>
        <w:pStyle w:val="ListParagraph"/>
        <w:numPr>
          <w:ilvl w:val="0"/>
          <w:numId w:val="81"/>
        </w:numPr>
        <w:spacing w:after="100" w:line="320" w:lineRule="exact"/>
        <w:ind w:left="2520"/>
        <w:jc w:val="both"/>
      </w:pPr>
      <w:r w:rsidRPr="009A6EFA">
        <w:rPr>
          <w:b/>
          <w:bCs/>
        </w:rPr>
        <w:t xml:space="preserve">State’s Response: </w:t>
      </w:r>
      <w:r w:rsidRPr="00C96089">
        <w:t xml:space="preserve">The State responds that the judgments and the trial court’s overall ruling clearly establish an effective sentence of sixty-five years and that the isolated reference to sixty years was merely a verbal misstatement. </w:t>
      </w:r>
      <w:r>
        <w:t xml:space="preserve"> </w:t>
      </w:r>
      <w:r w:rsidRPr="00C96089">
        <w:t xml:space="preserve">It argues that the court considered and rejected the proposed mitigation, properly relied on the Defendant’s criminal history and other enhancement factors, and gave adequate reasons for consecutive sentencing. </w:t>
      </w:r>
      <w:r>
        <w:t xml:space="preserve"> </w:t>
      </w:r>
      <w:r w:rsidRPr="00C96089">
        <w:t>Because the sentences were within the statutory ranges and supported by the record, the State maintains that the court acted within its discretion.</w:t>
      </w:r>
    </w:p>
    <w:p w14:paraId="51EE4152" w14:textId="77777777" w:rsidR="00C96089" w:rsidRPr="00C96089" w:rsidRDefault="00C96089" w:rsidP="00AC7C21">
      <w:pPr>
        <w:spacing w:after="100" w:line="320" w:lineRule="exact"/>
        <w:jc w:val="both"/>
      </w:pPr>
    </w:p>
    <w:p w14:paraId="7CB4A630" w14:textId="77777777" w:rsidR="002426FA" w:rsidRPr="002426FA" w:rsidRDefault="002426FA" w:rsidP="00AC7C21">
      <w:pPr>
        <w:spacing w:after="100" w:line="320" w:lineRule="exact"/>
        <w:jc w:val="both"/>
      </w:pPr>
    </w:p>
    <w:p w14:paraId="6D5E00E1" w14:textId="77777777" w:rsidR="001776E2" w:rsidRPr="001776E2" w:rsidRDefault="001776E2" w:rsidP="00AC7C21">
      <w:pPr>
        <w:spacing w:after="100" w:line="320" w:lineRule="exact"/>
        <w:jc w:val="both"/>
      </w:pPr>
    </w:p>
    <w:p w14:paraId="0F20ACC2" w14:textId="77777777" w:rsidR="001776E2" w:rsidRPr="001776E2" w:rsidRDefault="001776E2" w:rsidP="00AC7C21">
      <w:pPr>
        <w:spacing w:after="100" w:line="320" w:lineRule="exact"/>
        <w:jc w:val="both"/>
      </w:pPr>
    </w:p>
    <w:p w14:paraId="7582A8A4" w14:textId="77777777" w:rsidR="008C10C7" w:rsidRDefault="008C10C7" w:rsidP="00AC7C21">
      <w:pPr>
        <w:spacing w:line="320" w:lineRule="exact"/>
        <w:rPr>
          <w:b/>
          <w:bCs/>
          <w:i/>
          <w:iCs/>
        </w:rPr>
      </w:pPr>
      <w:r>
        <w:rPr>
          <w:b/>
          <w:bCs/>
          <w:i/>
          <w:iCs/>
        </w:rPr>
        <w:br w:type="page"/>
      </w:r>
    </w:p>
    <w:p w14:paraId="2E7F7EB4" w14:textId="6E2899E1" w:rsidR="00FD3FEA" w:rsidRPr="004E2244" w:rsidRDefault="004E2244" w:rsidP="00AC7C21">
      <w:pPr>
        <w:pStyle w:val="1CenteredMainHeading"/>
        <w:spacing w:line="320" w:lineRule="exact"/>
        <w:rPr>
          <w:i w:val="0"/>
          <w:iCs w:val="0"/>
        </w:rPr>
      </w:pPr>
      <w:r w:rsidRPr="00FD3FEA">
        <w:lastRenderedPageBreak/>
        <w:t xml:space="preserve">Brian </w:t>
      </w:r>
      <w:r>
        <w:t>W</w:t>
      </w:r>
      <w:r w:rsidRPr="00FD3FEA">
        <w:t>alker v. State</w:t>
      </w:r>
      <w:r w:rsidR="00FF4D65" w:rsidRPr="004E2244">
        <w:rPr>
          <w:i w:val="0"/>
          <w:iCs w:val="0"/>
        </w:rPr>
        <w:t>, N</w:t>
      </w:r>
      <w:r w:rsidR="00FD3FEA" w:rsidRPr="004E2244">
        <w:rPr>
          <w:i w:val="0"/>
          <w:iCs w:val="0"/>
        </w:rPr>
        <w:t>o</w:t>
      </w:r>
      <w:r w:rsidR="00FF4D65" w:rsidRPr="004E2244">
        <w:rPr>
          <w:i w:val="0"/>
          <w:iCs w:val="0"/>
        </w:rPr>
        <w:t>. W2025-01287-CCA-R3-</w:t>
      </w:r>
      <w:r w:rsidR="000D0E67" w:rsidRPr="004E2244">
        <w:rPr>
          <w:i w:val="0"/>
          <w:iCs w:val="0"/>
        </w:rPr>
        <w:t>PC</w:t>
      </w:r>
    </w:p>
    <w:p w14:paraId="046FFF82" w14:textId="54D7E27D" w:rsidR="00FD3FEA" w:rsidRDefault="00AC7C21">
      <w:pPr>
        <w:pStyle w:val="2TCGHeading2"/>
        <w:numPr>
          <w:ilvl w:val="0"/>
          <w:numId w:val="82"/>
        </w:numPr>
        <w:spacing w:after="480" w:line="320" w:lineRule="exact"/>
        <w:ind w:left="1440" w:hanging="720"/>
      </w:pPr>
      <w:r>
        <w:t>Lawyers Involved</w:t>
      </w:r>
    </w:p>
    <w:p w14:paraId="07B71864" w14:textId="32B23690" w:rsidR="00FD3FEA" w:rsidRDefault="00FF4D65">
      <w:pPr>
        <w:pStyle w:val="AOpinionTextStyle"/>
        <w:numPr>
          <w:ilvl w:val="0"/>
          <w:numId w:val="15"/>
        </w:numPr>
        <w:ind w:left="1800"/>
      </w:pPr>
      <w:r>
        <w:t>Robert R. Young, IV</w:t>
      </w:r>
      <w:r w:rsidRPr="009A6EFA">
        <w:t xml:space="preserve"> (for the </w:t>
      </w:r>
      <w:r w:rsidR="000D0E67">
        <w:t>Petitioner</w:t>
      </w:r>
      <w:r w:rsidR="00A93E2C">
        <w:t>)</w:t>
      </w:r>
      <w:r w:rsidRPr="009A6EFA">
        <w:t xml:space="preserve"> </w:t>
      </w:r>
    </w:p>
    <w:p w14:paraId="49E9516E" w14:textId="31E3B582" w:rsidR="00FF4D65" w:rsidRPr="001776E2" w:rsidRDefault="0017108E">
      <w:pPr>
        <w:pStyle w:val="AOpinionTextStyle"/>
        <w:numPr>
          <w:ilvl w:val="0"/>
          <w:numId w:val="15"/>
        </w:numPr>
        <w:ind w:left="1800"/>
      </w:pPr>
      <w:r>
        <w:t>Kelly M. Telfeyan</w:t>
      </w:r>
      <w:r w:rsidR="00FF4D65" w:rsidRPr="009A6EFA">
        <w:t>, Assistant Attorney General (for the State)</w:t>
      </w:r>
    </w:p>
    <w:p w14:paraId="16E5BC36" w14:textId="77777777" w:rsidR="00FF4D65" w:rsidRPr="009A6EFA" w:rsidRDefault="00FF4D65" w:rsidP="00AC7C21">
      <w:pPr>
        <w:pStyle w:val="2TCGHeading2"/>
        <w:spacing w:line="320" w:lineRule="exact"/>
      </w:pPr>
      <w:r w:rsidRPr="009A6EFA">
        <w:t>Issues Presented</w:t>
      </w:r>
    </w:p>
    <w:p w14:paraId="139DE1C3" w14:textId="77777777" w:rsidR="001F47D6" w:rsidRDefault="001F47D6">
      <w:pPr>
        <w:pStyle w:val="AOpinionTextStyle"/>
        <w:numPr>
          <w:ilvl w:val="0"/>
          <w:numId w:val="89"/>
        </w:numPr>
        <w:ind w:left="1800"/>
      </w:pPr>
      <w:r>
        <w:t>Whether trial counsel rendered ineffective assistance by not filing a motion to suppress the Petitioner’s statements.</w:t>
      </w:r>
    </w:p>
    <w:p w14:paraId="54438E14" w14:textId="2AEAA6D8" w:rsidR="0017108E" w:rsidRDefault="001F47D6">
      <w:pPr>
        <w:pStyle w:val="AOpinionTextStyle"/>
        <w:numPr>
          <w:ilvl w:val="0"/>
          <w:numId w:val="89"/>
        </w:numPr>
        <w:ind w:left="1800"/>
      </w:pPr>
      <w:r>
        <w:t>Whether trial counsel rendered ineffective assistance by allegedly failing to provide the Petitioner with available discovery before entry of the guilty plea</w:t>
      </w:r>
      <w:r w:rsidR="0017108E">
        <w:t>.</w:t>
      </w:r>
    </w:p>
    <w:p w14:paraId="741ECA96" w14:textId="77777777" w:rsidR="00FF4D65" w:rsidRPr="009A6EFA" w:rsidRDefault="00FF4D65" w:rsidP="00AC7C21">
      <w:pPr>
        <w:pStyle w:val="2TCGHeading2"/>
        <w:spacing w:line="320" w:lineRule="exact"/>
      </w:pPr>
      <w:r w:rsidRPr="009A6EFA">
        <w:t>Factual Background</w:t>
      </w:r>
    </w:p>
    <w:p w14:paraId="64C62CD7" w14:textId="6C4C619C" w:rsidR="0017108E" w:rsidRDefault="0017108E" w:rsidP="00AC7C21">
      <w:pPr>
        <w:pStyle w:val="AOpinionTextStyle"/>
      </w:pPr>
      <w:r>
        <w:t xml:space="preserve">The </w:t>
      </w:r>
      <w:r w:rsidR="000D0E67">
        <w:t>Petitioner</w:t>
      </w:r>
      <w:r>
        <w:t xml:space="preserve"> was indicted for rape of a child and aggravated sexual battery involving a victim under thirteen.  During a February 2023 interview at the </w:t>
      </w:r>
      <w:r w:rsidR="000D0E67">
        <w:t>Petitioner</w:t>
      </w:r>
      <w:r>
        <w:t xml:space="preserve">’s home, investigators advised him of his rights pursuant to </w:t>
      </w:r>
      <w:r w:rsidRPr="009A6EFA">
        <w:rPr>
          <w:i/>
          <w:iCs/>
        </w:rPr>
        <w:t>Miranda v. Arizona</w:t>
      </w:r>
      <w:r w:rsidRPr="009A6EFA">
        <w:t>, 384 U.S. 436 (1966)</w:t>
      </w:r>
      <w:r>
        <w:t xml:space="preserve">.  The </w:t>
      </w:r>
      <w:r w:rsidR="00CF541E" w:rsidRPr="00CF541E">
        <w:t>Petitioner’s mother stated that he had cognitive difficulties, functioned like a twelve-year-old, was not taking his prescribed medication, and did not understand the warnings.</w:t>
      </w:r>
    </w:p>
    <w:p w14:paraId="21B330F0" w14:textId="53BCE7E2" w:rsidR="0017108E" w:rsidRDefault="00F86E34" w:rsidP="00AC7C21">
      <w:pPr>
        <w:pStyle w:val="AOpinionTextStyle"/>
      </w:pPr>
      <w:r w:rsidRPr="00F86E34">
        <w:t>During the continued interview, the Petitioner stated that he and the victim had engaged in sexual intercourse approximately three years earlier</w:t>
      </w:r>
      <w:r w:rsidR="0017108E">
        <w:t xml:space="preserve">.  After retaining private counsel, the </w:t>
      </w:r>
      <w:r w:rsidR="000D0E67">
        <w:t>Petitioner</w:t>
      </w:r>
      <w:r w:rsidR="0017108E">
        <w:t xml:space="preserve"> entered a best-interest guilty plea to aggravated sexual battery.  The rape-of-a-child charge was dismissed, and the </w:t>
      </w:r>
      <w:r w:rsidR="000D0E67">
        <w:t>Petitioner</w:t>
      </w:r>
      <w:r w:rsidR="0017108E">
        <w:t xml:space="preserve"> received an eight-year sentence at one hundred percent followed by community supervision for life.</w:t>
      </w:r>
    </w:p>
    <w:p w14:paraId="72693230" w14:textId="02EA22EA" w:rsidR="0017108E" w:rsidRDefault="0017108E" w:rsidP="00AC7C21">
      <w:pPr>
        <w:pStyle w:val="AOpinionTextStyle"/>
      </w:pPr>
      <w:r>
        <w:t xml:space="preserve">The </w:t>
      </w:r>
      <w:r w:rsidR="000D0E67">
        <w:t>Petitioner</w:t>
      </w:r>
      <w:r>
        <w:t xml:space="preserve"> sought post-conviction relief, alleging ineffective assistance of counsel.  Trial counsel testified that he considered a suppression motion but estimated its chance of success at approximately fifty percent.  Counsel chose not to file the motion while negotiating the plea because he did not want to jeopardize a favorable offer, although he intended to file it if the case proceeded to trial.  The post-conviction court found that the </w:t>
      </w:r>
      <w:r w:rsidR="000D0E67">
        <w:t>Petitioner</w:t>
      </w:r>
      <w:r>
        <w:t xml:space="preserve"> had not established deficient performance or prejudice and denied relief.</w:t>
      </w:r>
    </w:p>
    <w:p w14:paraId="193AABFF" w14:textId="7C974675" w:rsidR="00FD3FEA" w:rsidRDefault="00FD3FEA" w:rsidP="00AC7C21">
      <w:pPr>
        <w:pStyle w:val="2TCGHeading2"/>
        <w:spacing w:line="320" w:lineRule="exact"/>
      </w:pPr>
      <w:r>
        <w:lastRenderedPageBreak/>
        <w:t>Arguments</w:t>
      </w:r>
    </w:p>
    <w:p w14:paraId="5D3D4124" w14:textId="3D9BBC20" w:rsidR="00FF4D65" w:rsidRPr="009A6EFA" w:rsidRDefault="00FF4D65">
      <w:pPr>
        <w:pStyle w:val="Heading3"/>
        <w:keepNext w:val="0"/>
        <w:numPr>
          <w:ilvl w:val="0"/>
          <w:numId w:val="83"/>
        </w:numPr>
        <w:spacing w:line="320" w:lineRule="exact"/>
        <w:ind w:hanging="720"/>
      </w:pPr>
      <w:r w:rsidRPr="009A6EFA">
        <w:t xml:space="preserve">Issue One: </w:t>
      </w:r>
      <w:r w:rsidR="007971C0">
        <w:t>Failure to File a Motion to Suppress</w:t>
      </w:r>
    </w:p>
    <w:p w14:paraId="11F8E0F1" w14:textId="0F17E9CA" w:rsidR="00FF4D65" w:rsidRPr="009A6EFA" w:rsidRDefault="000D0E67">
      <w:pPr>
        <w:pStyle w:val="ListParagraph"/>
        <w:numPr>
          <w:ilvl w:val="0"/>
          <w:numId w:val="84"/>
        </w:numPr>
        <w:spacing w:after="100" w:line="320" w:lineRule="exact"/>
        <w:ind w:left="2520"/>
        <w:jc w:val="both"/>
      </w:pPr>
      <w:r>
        <w:rPr>
          <w:b/>
          <w:bCs/>
        </w:rPr>
        <w:t>Petitioner</w:t>
      </w:r>
      <w:r w:rsidR="00FF4D65" w:rsidRPr="009A6EFA">
        <w:rPr>
          <w:b/>
          <w:bCs/>
        </w:rPr>
        <w:t xml:space="preserve">’s Argument: </w:t>
      </w:r>
      <w:r w:rsidR="007971C0" w:rsidRPr="007971C0">
        <w:t xml:space="preserve">The </w:t>
      </w:r>
      <w:r>
        <w:t>Petitioner</w:t>
      </w:r>
      <w:r w:rsidR="007971C0" w:rsidRPr="007971C0">
        <w:t xml:space="preserve"> argues that his statements were unlawfully obtained because he did not understand his </w:t>
      </w:r>
      <w:r w:rsidR="007971C0" w:rsidRPr="007971C0">
        <w:rPr>
          <w:i/>
          <w:iCs/>
        </w:rPr>
        <w:t>Miranda</w:t>
      </w:r>
      <w:r w:rsidR="007971C0" w:rsidRPr="007971C0">
        <w:t xml:space="preserve"> rights and investigators continued questioning despite his mother’s explanation of his cognitive limitations. </w:t>
      </w:r>
      <w:r w:rsidR="007971C0">
        <w:t xml:space="preserve"> </w:t>
      </w:r>
      <w:r w:rsidR="007971C0" w:rsidRPr="007971C0">
        <w:t xml:space="preserve">He contends that these circumstances supported a meritorious suppression motion and that counsel acted unreasonably by delaying the motion during plea negotiations. </w:t>
      </w:r>
      <w:r w:rsidR="007971C0">
        <w:t xml:space="preserve"> </w:t>
      </w:r>
      <w:r w:rsidR="007971C0" w:rsidRPr="007971C0">
        <w:t xml:space="preserve">According to the </w:t>
      </w:r>
      <w:r>
        <w:t>Petitioner</w:t>
      </w:r>
      <w:r w:rsidR="007971C0" w:rsidRPr="007971C0">
        <w:t>, successful suppression could have produced a more favorable plea, a dismissal, or a different result at trial.</w:t>
      </w:r>
    </w:p>
    <w:p w14:paraId="13179381" w14:textId="77777777" w:rsidR="00D461B2" w:rsidRPr="00D461B2" w:rsidRDefault="00D461B2" w:rsidP="00AC7C21">
      <w:pPr>
        <w:pStyle w:val="ListParagraph"/>
        <w:spacing w:line="320" w:lineRule="exact"/>
        <w:ind w:left="2520"/>
        <w:jc w:val="both"/>
      </w:pPr>
    </w:p>
    <w:p w14:paraId="13DA2F62" w14:textId="2AD045EE" w:rsidR="00FF4D65" w:rsidRPr="001776E2" w:rsidRDefault="00FF4D65">
      <w:pPr>
        <w:pStyle w:val="ListParagraph"/>
        <w:numPr>
          <w:ilvl w:val="0"/>
          <w:numId w:val="84"/>
        </w:numPr>
        <w:spacing w:line="320" w:lineRule="exact"/>
        <w:ind w:left="2520"/>
        <w:jc w:val="both"/>
      </w:pPr>
      <w:r w:rsidRPr="009A6EFA">
        <w:rPr>
          <w:b/>
          <w:bCs/>
        </w:rPr>
        <w:t xml:space="preserve">State’s Response: </w:t>
      </w:r>
      <w:r w:rsidRPr="001776E2">
        <w:t>T</w:t>
      </w:r>
      <w:r w:rsidR="007971C0" w:rsidRPr="007971C0">
        <w:t xml:space="preserve">he State argues that the </w:t>
      </w:r>
      <w:r w:rsidR="000D0E67">
        <w:t>Petitioner</w:t>
      </w:r>
      <w:r w:rsidR="007971C0" w:rsidRPr="007971C0">
        <w:t xml:space="preserve"> failed to prove that a suppression motion would have been successful because he did not adequately develop the suppression issue during the post-conviction hearing.</w:t>
      </w:r>
      <w:r w:rsidR="007971C0">
        <w:t xml:space="preserve"> </w:t>
      </w:r>
      <w:r w:rsidR="007971C0" w:rsidRPr="007971C0">
        <w:t xml:space="preserve"> It further maintains that counsel made a reasonable strategic decision to preserve ongoing plea negotiations and was prepared to file the motion if negotiations failed. </w:t>
      </w:r>
      <w:r w:rsidR="007971C0">
        <w:t xml:space="preserve"> </w:t>
      </w:r>
      <w:r w:rsidR="007971C0" w:rsidRPr="007971C0">
        <w:t xml:space="preserve">The State also argues that the </w:t>
      </w:r>
      <w:r w:rsidR="000D0E67">
        <w:t>Petitioner</w:t>
      </w:r>
      <w:r w:rsidR="007971C0" w:rsidRPr="007971C0">
        <w:t xml:space="preserve"> failed to establish prejudice because the victim’s testimony independently supported the charge and the appellate record does not contain enough evidence to show that suppressing the statements probably would have changed the outcome.</w:t>
      </w:r>
    </w:p>
    <w:p w14:paraId="34586E10" w14:textId="03EF58C4" w:rsidR="00FF4D65" w:rsidRPr="009A6EFA" w:rsidRDefault="00FF4D65" w:rsidP="00AC7C21">
      <w:pPr>
        <w:pStyle w:val="Heading3"/>
        <w:spacing w:line="320" w:lineRule="exact"/>
      </w:pPr>
      <w:r w:rsidRPr="009A6EFA">
        <w:t xml:space="preserve">Issue Two: </w:t>
      </w:r>
      <w:r w:rsidR="007971C0">
        <w:t>Failure to Provide Discovery</w:t>
      </w:r>
    </w:p>
    <w:p w14:paraId="3F831CC7" w14:textId="5163F260" w:rsidR="00FF4D65" w:rsidRPr="001776E2" w:rsidRDefault="000D0E67">
      <w:pPr>
        <w:pStyle w:val="ListParagraph"/>
        <w:keepNext/>
        <w:numPr>
          <w:ilvl w:val="0"/>
          <w:numId w:val="13"/>
        </w:numPr>
        <w:spacing w:line="320" w:lineRule="exact"/>
        <w:ind w:left="2520"/>
        <w:jc w:val="both"/>
      </w:pPr>
      <w:r>
        <w:rPr>
          <w:b/>
          <w:bCs/>
        </w:rPr>
        <w:t>Petitioner</w:t>
      </w:r>
      <w:r w:rsidR="00FF4D65" w:rsidRPr="009A6EFA">
        <w:rPr>
          <w:b/>
          <w:bCs/>
        </w:rPr>
        <w:t xml:space="preserve">’s Argument: </w:t>
      </w:r>
      <w:r w:rsidR="007971C0" w:rsidRPr="007971C0">
        <w:t xml:space="preserve">The </w:t>
      </w:r>
      <w:r>
        <w:t>Petitioner</w:t>
      </w:r>
      <w:r w:rsidR="007971C0" w:rsidRPr="007971C0">
        <w:t xml:space="preserve"> argues that counsel did not show him the video recording of his police interview before he pleaded guilty. </w:t>
      </w:r>
      <w:r w:rsidR="007971C0">
        <w:t xml:space="preserve"> </w:t>
      </w:r>
      <w:r w:rsidR="007971C0" w:rsidRPr="007971C0">
        <w:t xml:space="preserve">Although counsel may have reviewed a transcript with him, the </w:t>
      </w:r>
      <w:r>
        <w:t>Petitioner</w:t>
      </w:r>
      <w:r w:rsidR="007971C0" w:rsidRPr="007971C0">
        <w:t xml:space="preserve"> contends that he was entitled to see the actual recording and that the omission prevented him from fully evaluating the voluntariness of his statements and making an informed decision about the plea.</w:t>
      </w:r>
    </w:p>
    <w:p w14:paraId="6C7A4C5C" w14:textId="77777777" w:rsidR="00D461B2" w:rsidRPr="00D461B2" w:rsidRDefault="00D461B2" w:rsidP="00AC7C21">
      <w:pPr>
        <w:pStyle w:val="ListParagraph"/>
        <w:spacing w:after="100" w:line="320" w:lineRule="exact"/>
        <w:ind w:left="2520"/>
        <w:jc w:val="both"/>
      </w:pPr>
    </w:p>
    <w:p w14:paraId="59BDA44B" w14:textId="61F0C31E" w:rsidR="00FF4D65" w:rsidRPr="007971C0" w:rsidRDefault="00FF4D65">
      <w:pPr>
        <w:pStyle w:val="ListParagraph"/>
        <w:numPr>
          <w:ilvl w:val="0"/>
          <w:numId w:val="14"/>
        </w:numPr>
        <w:spacing w:after="100" w:line="320" w:lineRule="exact"/>
        <w:ind w:left="2520"/>
        <w:jc w:val="both"/>
      </w:pPr>
      <w:r w:rsidRPr="009A6EFA">
        <w:rPr>
          <w:b/>
          <w:bCs/>
        </w:rPr>
        <w:t xml:space="preserve">State’s Response: </w:t>
      </w:r>
      <w:r w:rsidR="007971C0" w:rsidRPr="007971C0">
        <w:t xml:space="preserve">The State first argues that this claim was waived because the </w:t>
      </w:r>
      <w:r w:rsidR="000D0E67">
        <w:t>Petitioner</w:t>
      </w:r>
      <w:r w:rsidR="007971C0" w:rsidRPr="007971C0">
        <w:t xml:space="preserve"> did not raise it adequately in his post-conviction petition or obtain a ruling from the post-conviction court. </w:t>
      </w:r>
      <w:r w:rsidR="007971C0">
        <w:t xml:space="preserve"> </w:t>
      </w:r>
      <w:r w:rsidR="007971C0" w:rsidRPr="007971C0">
        <w:t xml:space="preserve">On the merits, the State notes that counsel reviewed the discovery file and a transcript </w:t>
      </w:r>
      <w:r w:rsidR="007971C0" w:rsidRPr="007971C0">
        <w:lastRenderedPageBreak/>
        <w:t xml:space="preserve">of the interview with the </w:t>
      </w:r>
      <w:r w:rsidR="000D0E67">
        <w:t>Petitioner</w:t>
      </w:r>
      <w:r w:rsidR="007971C0" w:rsidRPr="007971C0">
        <w:t xml:space="preserve">, discussed the video’s contents with him, and reviewed the recording with the </w:t>
      </w:r>
      <w:r w:rsidR="000D0E67">
        <w:t>Petitioner</w:t>
      </w:r>
      <w:r w:rsidR="007971C0" w:rsidRPr="007971C0">
        <w:t xml:space="preserve">’s mother. </w:t>
      </w:r>
      <w:r w:rsidR="007971C0">
        <w:t xml:space="preserve"> </w:t>
      </w:r>
      <w:r w:rsidR="007971C0" w:rsidRPr="007971C0">
        <w:t xml:space="preserve">The State also argues that the </w:t>
      </w:r>
      <w:r w:rsidR="000D0E67">
        <w:t>Petitioner</w:t>
      </w:r>
      <w:r w:rsidR="007971C0" w:rsidRPr="007971C0">
        <w:t xml:space="preserve"> did not establish prejudice because he did not show that viewing the recording would have caused him to reject an eight-year plea agreement and risk a substantially longer sentence after trial.</w:t>
      </w:r>
    </w:p>
    <w:p w14:paraId="479C0D27" w14:textId="77777777" w:rsidR="000128AA" w:rsidRPr="000128AA" w:rsidRDefault="000128AA" w:rsidP="00AC7C21">
      <w:pPr>
        <w:spacing w:after="100" w:line="320" w:lineRule="exact"/>
      </w:pPr>
    </w:p>
    <w:sectPr w:rsidR="000128AA" w:rsidRPr="000128AA" w:rsidSect="00116800">
      <w:footerReference w:type="default" r:id="rId7"/>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76FC" w14:textId="77777777" w:rsidR="00BB7919" w:rsidRDefault="00BB7919" w:rsidP="00116800">
      <w:r>
        <w:separator/>
      </w:r>
    </w:p>
  </w:endnote>
  <w:endnote w:type="continuationSeparator" w:id="0">
    <w:p w14:paraId="6AFDB61E" w14:textId="77777777" w:rsidR="00BB7919" w:rsidRDefault="00BB7919" w:rsidP="0011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Linux Libertine G">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101764"/>
      <w:docPartObj>
        <w:docPartGallery w:val="Page Numbers (Bottom of Page)"/>
        <w:docPartUnique/>
      </w:docPartObj>
    </w:sdtPr>
    <w:sdtEndPr>
      <w:rPr>
        <w:noProof/>
      </w:rPr>
    </w:sdtEndPr>
    <w:sdtContent>
      <w:p w14:paraId="5BBDB4E4" w14:textId="5323B4DE" w:rsidR="00116800" w:rsidRDefault="001168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285FE6" w14:textId="77777777" w:rsidR="00116800" w:rsidRDefault="00116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09BD" w14:textId="77777777" w:rsidR="00BB7919" w:rsidRDefault="00BB7919" w:rsidP="00116800">
      <w:r>
        <w:separator/>
      </w:r>
    </w:p>
  </w:footnote>
  <w:footnote w:type="continuationSeparator" w:id="0">
    <w:p w14:paraId="4A142842" w14:textId="77777777" w:rsidR="00BB7919" w:rsidRDefault="00BB7919" w:rsidP="00116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3D58"/>
    <w:multiLevelType w:val="hybridMultilevel"/>
    <w:tmpl w:val="10DE7D58"/>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21C149B"/>
    <w:multiLevelType w:val="multilevel"/>
    <w:tmpl w:val="2AF42096"/>
    <w:styleLink w:val="WWNum7"/>
    <w:lvl w:ilvl="0">
      <w:start w:val="1"/>
      <w:numFmt w:val="lowerLetter"/>
      <w:pStyle w:val="Heading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019D4"/>
    <w:multiLevelType w:val="hybridMultilevel"/>
    <w:tmpl w:val="11DA57A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681214E"/>
    <w:multiLevelType w:val="multilevel"/>
    <w:tmpl w:val="47AE49C4"/>
    <w:styleLink w:val="WWNum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08F66E86"/>
    <w:multiLevelType w:val="hybridMultilevel"/>
    <w:tmpl w:val="C762B76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9BE63BF"/>
    <w:multiLevelType w:val="hybridMultilevel"/>
    <w:tmpl w:val="AA50521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CEF6347"/>
    <w:multiLevelType w:val="hybridMultilevel"/>
    <w:tmpl w:val="E6ECB066"/>
    <w:lvl w:ilvl="0" w:tplc="117C3E60">
      <w:start w:val="1"/>
      <w:numFmt w:val="bullet"/>
      <w:lvlRestart w:val="0"/>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8732CB"/>
    <w:multiLevelType w:val="hybridMultilevel"/>
    <w:tmpl w:val="A682512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0F4E4C8D"/>
    <w:multiLevelType w:val="hybridMultilevel"/>
    <w:tmpl w:val="B9D469D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0F23C09"/>
    <w:multiLevelType w:val="hybridMultilevel"/>
    <w:tmpl w:val="BBC8724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55C2BE6"/>
    <w:multiLevelType w:val="hybridMultilevel"/>
    <w:tmpl w:val="C892394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5B152A2"/>
    <w:multiLevelType w:val="hybridMultilevel"/>
    <w:tmpl w:val="C7545D1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5D678B3"/>
    <w:multiLevelType w:val="multilevel"/>
    <w:tmpl w:val="8BDA92C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19771AA4"/>
    <w:multiLevelType w:val="hybridMultilevel"/>
    <w:tmpl w:val="739459E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9E1136D"/>
    <w:multiLevelType w:val="hybridMultilevel"/>
    <w:tmpl w:val="06CAD3C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1B7340DF"/>
    <w:multiLevelType w:val="multilevel"/>
    <w:tmpl w:val="B96039B4"/>
    <w:styleLink w:val="WWNum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C8556C"/>
    <w:multiLevelType w:val="hybridMultilevel"/>
    <w:tmpl w:val="DF14AC1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1E6427D6"/>
    <w:multiLevelType w:val="hybridMultilevel"/>
    <w:tmpl w:val="CEAE763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0B44049"/>
    <w:multiLevelType w:val="hybridMultilevel"/>
    <w:tmpl w:val="C788638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1380AC8"/>
    <w:multiLevelType w:val="multilevel"/>
    <w:tmpl w:val="63367D26"/>
    <w:styleLink w:val="WWNum3"/>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15:restartNumberingAfterBreak="0">
    <w:nsid w:val="23EC517E"/>
    <w:multiLevelType w:val="hybridMultilevel"/>
    <w:tmpl w:val="20409F4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25126117"/>
    <w:multiLevelType w:val="hybridMultilevel"/>
    <w:tmpl w:val="193EE3B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27B62B93"/>
    <w:multiLevelType w:val="hybridMultilevel"/>
    <w:tmpl w:val="BC46480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27BA3802"/>
    <w:multiLevelType w:val="multilevel"/>
    <w:tmpl w:val="BD96DC92"/>
    <w:styleLink w:val="Current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7E53B35"/>
    <w:multiLevelType w:val="hybridMultilevel"/>
    <w:tmpl w:val="4664EE9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92C4187"/>
    <w:multiLevelType w:val="hybridMultilevel"/>
    <w:tmpl w:val="44226098"/>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29350C48"/>
    <w:multiLevelType w:val="hybridMultilevel"/>
    <w:tmpl w:val="BD2AA29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C4E64D7"/>
    <w:multiLevelType w:val="multilevel"/>
    <w:tmpl w:val="BC5EE586"/>
    <w:styleLink w:val="WWNum6"/>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33E52651"/>
    <w:multiLevelType w:val="hybridMultilevel"/>
    <w:tmpl w:val="51DAB37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5070A9C"/>
    <w:multiLevelType w:val="hybridMultilevel"/>
    <w:tmpl w:val="86607D7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366866A7"/>
    <w:multiLevelType w:val="hybridMultilevel"/>
    <w:tmpl w:val="C024DD0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38C2228C"/>
    <w:multiLevelType w:val="hybridMultilevel"/>
    <w:tmpl w:val="00DE93B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3B992DFA"/>
    <w:multiLevelType w:val="multilevel"/>
    <w:tmpl w:val="0F383F28"/>
    <w:styleLink w:val="WWNum5"/>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 w15:restartNumberingAfterBreak="0">
    <w:nsid w:val="3D594F70"/>
    <w:multiLevelType w:val="hybridMultilevel"/>
    <w:tmpl w:val="7B9200A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3E0B774D"/>
    <w:multiLevelType w:val="hybridMultilevel"/>
    <w:tmpl w:val="3AA072F4"/>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406C2FA1"/>
    <w:multiLevelType w:val="multilevel"/>
    <w:tmpl w:val="D9F42052"/>
    <w:styleLink w:val="WWNum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408F5DA8"/>
    <w:multiLevelType w:val="hybridMultilevel"/>
    <w:tmpl w:val="A6EAE32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40E12DBD"/>
    <w:multiLevelType w:val="hybridMultilevel"/>
    <w:tmpl w:val="C3762F7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41FD5B97"/>
    <w:multiLevelType w:val="hybridMultilevel"/>
    <w:tmpl w:val="14263854"/>
    <w:lvl w:ilvl="0" w:tplc="117C3E60">
      <w:start w:val="1"/>
      <w:numFmt w:val="bullet"/>
      <w:lvlRestart w:val="0"/>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2D8132C"/>
    <w:multiLevelType w:val="hybridMultilevel"/>
    <w:tmpl w:val="860865F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44F358B7"/>
    <w:multiLevelType w:val="multilevel"/>
    <w:tmpl w:val="35382046"/>
    <w:styleLink w:val="WWNum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462A6CD5"/>
    <w:multiLevelType w:val="hybridMultilevel"/>
    <w:tmpl w:val="4112C986"/>
    <w:lvl w:ilvl="0" w:tplc="117C3E60">
      <w:start w:val="1"/>
      <w:numFmt w:val="bullet"/>
      <w:lvlRestart w:val="0"/>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466D002A"/>
    <w:multiLevelType w:val="hybridMultilevel"/>
    <w:tmpl w:val="D864053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4997732C"/>
    <w:multiLevelType w:val="hybridMultilevel"/>
    <w:tmpl w:val="57A005F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4A210DAA"/>
    <w:multiLevelType w:val="hybridMultilevel"/>
    <w:tmpl w:val="AA749B82"/>
    <w:lvl w:ilvl="0" w:tplc="117C3E6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455294"/>
    <w:multiLevelType w:val="hybridMultilevel"/>
    <w:tmpl w:val="73C23DF4"/>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4B497465"/>
    <w:multiLevelType w:val="hybridMultilevel"/>
    <w:tmpl w:val="0B064E8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4B792407"/>
    <w:multiLevelType w:val="hybridMultilevel"/>
    <w:tmpl w:val="A5B6CCA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4C726BDE"/>
    <w:multiLevelType w:val="hybridMultilevel"/>
    <w:tmpl w:val="05A04FA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15:restartNumberingAfterBreak="0">
    <w:nsid w:val="4D550CCB"/>
    <w:multiLevelType w:val="hybridMultilevel"/>
    <w:tmpl w:val="FAF2D4E6"/>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0" w15:restartNumberingAfterBreak="0">
    <w:nsid w:val="4F2B69A5"/>
    <w:multiLevelType w:val="hybridMultilevel"/>
    <w:tmpl w:val="689238EE"/>
    <w:lvl w:ilvl="0" w:tplc="117C3E6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640553"/>
    <w:multiLevelType w:val="hybridMultilevel"/>
    <w:tmpl w:val="F1C25654"/>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2" w15:restartNumberingAfterBreak="0">
    <w:nsid w:val="52762EA7"/>
    <w:multiLevelType w:val="hybridMultilevel"/>
    <w:tmpl w:val="18D05354"/>
    <w:lvl w:ilvl="0" w:tplc="384644D4">
      <w:start w:val="1"/>
      <w:numFmt w:val="decimal"/>
      <w:pStyle w:val="1CenteredMain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DB01C3"/>
    <w:multiLevelType w:val="hybridMultilevel"/>
    <w:tmpl w:val="98F0B0B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4" w15:restartNumberingAfterBreak="0">
    <w:nsid w:val="5A455C8B"/>
    <w:multiLevelType w:val="hybridMultilevel"/>
    <w:tmpl w:val="38DCBB0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5" w15:restartNumberingAfterBreak="0">
    <w:nsid w:val="5A4C4F3E"/>
    <w:multiLevelType w:val="hybridMultilevel"/>
    <w:tmpl w:val="7BD8991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15:restartNumberingAfterBreak="0">
    <w:nsid w:val="5C21243D"/>
    <w:multiLevelType w:val="hybridMultilevel"/>
    <w:tmpl w:val="61661BAC"/>
    <w:lvl w:ilvl="0" w:tplc="0C743820">
      <w:start w:val="1"/>
      <w:numFmt w:val="upperLetter"/>
      <w:pStyle w:val="2TCG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241674"/>
    <w:multiLevelType w:val="hybridMultilevel"/>
    <w:tmpl w:val="36862ED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15:restartNumberingAfterBreak="0">
    <w:nsid w:val="63C12301"/>
    <w:multiLevelType w:val="hybridMultilevel"/>
    <w:tmpl w:val="09D8239C"/>
    <w:lvl w:ilvl="0" w:tplc="9ED03D34">
      <w:start w:val="1"/>
      <w:numFmt w:val="decimal"/>
      <w:pStyle w:val="Heading3"/>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64C47C41"/>
    <w:multiLevelType w:val="hybridMultilevel"/>
    <w:tmpl w:val="1D38727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0" w15:restartNumberingAfterBreak="0">
    <w:nsid w:val="65995962"/>
    <w:multiLevelType w:val="hybridMultilevel"/>
    <w:tmpl w:val="729E8E10"/>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1" w15:restartNumberingAfterBreak="0">
    <w:nsid w:val="659A0671"/>
    <w:multiLevelType w:val="hybridMultilevel"/>
    <w:tmpl w:val="9C808352"/>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2" w15:restartNumberingAfterBreak="0">
    <w:nsid w:val="6A36682C"/>
    <w:multiLevelType w:val="hybridMultilevel"/>
    <w:tmpl w:val="514EB81A"/>
    <w:lvl w:ilvl="0" w:tplc="117C3E6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616958"/>
    <w:multiLevelType w:val="hybridMultilevel"/>
    <w:tmpl w:val="2BF02048"/>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4" w15:restartNumberingAfterBreak="0">
    <w:nsid w:val="6B2A6C8F"/>
    <w:multiLevelType w:val="hybridMultilevel"/>
    <w:tmpl w:val="4F96A974"/>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5" w15:restartNumberingAfterBreak="0">
    <w:nsid w:val="737766DA"/>
    <w:multiLevelType w:val="hybridMultilevel"/>
    <w:tmpl w:val="1E503928"/>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 w15:restartNumberingAfterBreak="0">
    <w:nsid w:val="73F60446"/>
    <w:multiLevelType w:val="hybridMultilevel"/>
    <w:tmpl w:val="4C8626B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7" w15:restartNumberingAfterBreak="0">
    <w:nsid w:val="7AEC77D7"/>
    <w:multiLevelType w:val="hybridMultilevel"/>
    <w:tmpl w:val="A380F70A"/>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8" w15:restartNumberingAfterBreak="0">
    <w:nsid w:val="7B7F7C9E"/>
    <w:multiLevelType w:val="hybridMultilevel"/>
    <w:tmpl w:val="22B8351E"/>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9" w15:restartNumberingAfterBreak="0">
    <w:nsid w:val="7E141754"/>
    <w:multiLevelType w:val="hybridMultilevel"/>
    <w:tmpl w:val="5B7C2AFC"/>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0" w15:restartNumberingAfterBreak="0">
    <w:nsid w:val="7E7637AA"/>
    <w:multiLevelType w:val="hybridMultilevel"/>
    <w:tmpl w:val="7E6C9CB8"/>
    <w:lvl w:ilvl="0" w:tplc="117C3E60">
      <w:start w:val="1"/>
      <w:numFmt w:val="bullet"/>
      <w:lvlRestart w:val="0"/>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842550753">
    <w:abstractNumId w:val="56"/>
  </w:num>
  <w:num w:numId="2" w16cid:durableId="1757363328">
    <w:abstractNumId w:val="23"/>
  </w:num>
  <w:num w:numId="3" w16cid:durableId="890727207">
    <w:abstractNumId w:val="58"/>
  </w:num>
  <w:num w:numId="4" w16cid:durableId="1051928751">
    <w:abstractNumId w:val="12"/>
  </w:num>
  <w:num w:numId="5" w16cid:durableId="185408740">
    <w:abstractNumId w:val="35"/>
  </w:num>
  <w:num w:numId="6" w16cid:durableId="42019632">
    <w:abstractNumId w:val="15"/>
  </w:num>
  <w:num w:numId="7" w16cid:durableId="2105417597">
    <w:abstractNumId w:val="19"/>
  </w:num>
  <w:num w:numId="8" w16cid:durableId="746338835">
    <w:abstractNumId w:val="40"/>
  </w:num>
  <w:num w:numId="9" w16cid:durableId="509683742">
    <w:abstractNumId w:val="32"/>
  </w:num>
  <w:num w:numId="10" w16cid:durableId="969936233">
    <w:abstractNumId w:val="27"/>
  </w:num>
  <w:num w:numId="11" w16cid:durableId="565647923">
    <w:abstractNumId w:val="1"/>
  </w:num>
  <w:num w:numId="12" w16cid:durableId="1506818947">
    <w:abstractNumId w:val="3"/>
  </w:num>
  <w:num w:numId="13" w16cid:durableId="1875270657">
    <w:abstractNumId w:val="44"/>
  </w:num>
  <w:num w:numId="14" w16cid:durableId="1332951569">
    <w:abstractNumId w:val="62"/>
  </w:num>
  <w:num w:numId="15" w16cid:durableId="319969671">
    <w:abstractNumId w:val="49"/>
  </w:num>
  <w:num w:numId="16" w16cid:durableId="1687245119">
    <w:abstractNumId w:val="11"/>
  </w:num>
  <w:num w:numId="17" w16cid:durableId="264921440">
    <w:abstractNumId w:val="69"/>
  </w:num>
  <w:num w:numId="18" w16cid:durableId="83186133">
    <w:abstractNumId w:val="6"/>
  </w:num>
  <w:num w:numId="19" w16cid:durableId="2133403128">
    <w:abstractNumId w:val="41"/>
  </w:num>
  <w:num w:numId="20" w16cid:durableId="1323319116">
    <w:abstractNumId w:val="56"/>
    <w:lvlOverride w:ilvl="0">
      <w:startOverride w:val="1"/>
    </w:lvlOverride>
  </w:num>
  <w:num w:numId="21" w16cid:durableId="1224759133">
    <w:abstractNumId w:val="38"/>
  </w:num>
  <w:num w:numId="22" w16cid:durableId="1413745915">
    <w:abstractNumId w:val="29"/>
  </w:num>
  <w:num w:numId="23" w16cid:durableId="341126011">
    <w:abstractNumId w:val="48"/>
  </w:num>
  <w:num w:numId="24" w16cid:durableId="1769690457">
    <w:abstractNumId w:val="58"/>
    <w:lvlOverride w:ilvl="0">
      <w:startOverride w:val="1"/>
    </w:lvlOverride>
  </w:num>
  <w:num w:numId="25" w16cid:durableId="657728853">
    <w:abstractNumId w:val="61"/>
  </w:num>
  <w:num w:numId="26" w16cid:durableId="1977176924">
    <w:abstractNumId w:val="36"/>
  </w:num>
  <w:num w:numId="27" w16cid:durableId="524557333">
    <w:abstractNumId w:val="56"/>
    <w:lvlOverride w:ilvl="0">
      <w:startOverride w:val="1"/>
    </w:lvlOverride>
  </w:num>
  <w:num w:numId="28" w16cid:durableId="718822282">
    <w:abstractNumId w:val="10"/>
  </w:num>
  <w:num w:numId="29" w16cid:durableId="1455557146">
    <w:abstractNumId w:val="34"/>
  </w:num>
  <w:num w:numId="30" w16cid:durableId="1046029383">
    <w:abstractNumId w:val="70"/>
  </w:num>
  <w:num w:numId="31" w16cid:durableId="518809767">
    <w:abstractNumId w:val="58"/>
    <w:lvlOverride w:ilvl="0">
      <w:startOverride w:val="1"/>
    </w:lvlOverride>
  </w:num>
  <w:num w:numId="32" w16cid:durableId="1070149775">
    <w:abstractNumId w:val="26"/>
  </w:num>
  <w:num w:numId="33" w16cid:durableId="1490439325">
    <w:abstractNumId w:val="55"/>
  </w:num>
  <w:num w:numId="34" w16cid:durableId="756096566">
    <w:abstractNumId w:val="24"/>
  </w:num>
  <w:num w:numId="35" w16cid:durableId="929776559">
    <w:abstractNumId w:val="51"/>
  </w:num>
  <w:num w:numId="36" w16cid:durableId="1571115705">
    <w:abstractNumId w:val="56"/>
    <w:lvlOverride w:ilvl="0">
      <w:startOverride w:val="1"/>
    </w:lvlOverride>
  </w:num>
  <w:num w:numId="37" w16cid:durableId="415833285">
    <w:abstractNumId w:val="67"/>
  </w:num>
  <w:num w:numId="38" w16cid:durableId="627659986">
    <w:abstractNumId w:val="58"/>
    <w:lvlOverride w:ilvl="0">
      <w:startOverride w:val="1"/>
    </w:lvlOverride>
  </w:num>
  <w:num w:numId="39" w16cid:durableId="350495439">
    <w:abstractNumId w:val="14"/>
  </w:num>
  <w:num w:numId="40" w16cid:durableId="633291142">
    <w:abstractNumId w:val="68"/>
  </w:num>
  <w:num w:numId="41" w16cid:durableId="2147117615">
    <w:abstractNumId w:val="63"/>
  </w:num>
  <w:num w:numId="42" w16cid:durableId="310140990">
    <w:abstractNumId w:val="60"/>
  </w:num>
  <w:num w:numId="43" w16cid:durableId="1522695129">
    <w:abstractNumId w:val="56"/>
    <w:lvlOverride w:ilvl="0">
      <w:startOverride w:val="1"/>
    </w:lvlOverride>
  </w:num>
  <w:num w:numId="44" w16cid:durableId="1842970561">
    <w:abstractNumId w:val="57"/>
  </w:num>
  <w:num w:numId="45" w16cid:durableId="1804807393">
    <w:abstractNumId w:val="59"/>
  </w:num>
  <w:num w:numId="46" w16cid:durableId="197014808">
    <w:abstractNumId w:val="7"/>
  </w:num>
  <w:num w:numId="47" w16cid:durableId="2090736187">
    <w:abstractNumId w:val="58"/>
    <w:lvlOverride w:ilvl="0">
      <w:startOverride w:val="1"/>
    </w:lvlOverride>
  </w:num>
  <w:num w:numId="48" w16cid:durableId="168257931">
    <w:abstractNumId w:val="37"/>
  </w:num>
  <w:num w:numId="49" w16cid:durableId="307636916">
    <w:abstractNumId w:val="0"/>
  </w:num>
  <w:num w:numId="50" w16cid:durableId="1910574996">
    <w:abstractNumId w:val="46"/>
  </w:num>
  <w:num w:numId="51" w16cid:durableId="101069094">
    <w:abstractNumId w:val="56"/>
    <w:lvlOverride w:ilvl="0">
      <w:startOverride w:val="1"/>
    </w:lvlOverride>
  </w:num>
  <w:num w:numId="52" w16cid:durableId="131796379">
    <w:abstractNumId w:val="17"/>
  </w:num>
  <w:num w:numId="53" w16cid:durableId="1160927345">
    <w:abstractNumId w:val="31"/>
  </w:num>
  <w:num w:numId="54" w16cid:durableId="1754277970">
    <w:abstractNumId w:val="2"/>
  </w:num>
  <w:num w:numId="55" w16cid:durableId="2080401531">
    <w:abstractNumId w:val="58"/>
    <w:lvlOverride w:ilvl="0">
      <w:startOverride w:val="1"/>
    </w:lvlOverride>
  </w:num>
  <w:num w:numId="56" w16cid:durableId="1023895562">
    <w:abstractNumId w:val="20"/>
  </w:num>
  <w:num w:numId="57" w16cid:durableId="1685590069">
    <w:abstractNumId w:val="64"/>
  </w:num>
  <w:num w:numId="58" w16cid:durableId="630667516">
    <w:abstractNumId w:val="56"/>
    <w:lvlOverride w:ilvl="0">
      <w:startOverride w:val="1"/>
    </w:lvlOverride>
  </w:num>
  <w:num w:numId="59" w16cid:durableId="640883151">
    <w:abstractNumId w:val="42"/>
  </w:num>
  <w:num w:numId="60" w16cid:durableId="1787888736">
    <w:abstractNumId w:val="9"/>
  </w:num>
  <w:num w:numId="61" w16cid:durableId="923487721">
    <w:abstractNumId w:val="13"/>
  </w:num>
  <w:num w:numId="62" w16cid:durableId="2107188641">
    <w:abstractNumId w:val="33"/>
  </w:num>
  <w:num w:numId="63" w16cid:durableId="685862385">
    <w:abstractNumId w:val="58"/>
    <w:lvlOverride w:ilvl="0">
      <w:startOverride w:val="1"/>
    </w:lvlOverride>
  </w:num>
  <w:num w:numId="64" w16cid:durableId="436948296">
    <w:abstractNumId w:val="8"/>
  </w:num>
  <w:num w:numId="65" w16cid:durableId="1865706504">
    <w:abstractNumId w:val="56"/>
    <w:lvlOverride w:ilvl="0">
      <w:startOverride w:val="1"/>
    </w:lvlOverride>
  </w:num>
  <w:num w:numId="66" w16cid:durableId="107362005">
    <w:abstractNumId w:val="30"/>
  </w:num>
  <w:num w:numId="67" w16cid:durableId="1690527401">
    <w:abstractNumId w:val="25"/>
  </w:num>
  <w:num w:numId="68" w16cid:durableId="531844926">
    <w:abstractNumId w:val="39"/>
  </w:num>
  <w:num w:numId="69" w16cid:durableId="270628304">
    <w:abstractNumId w:val="58"/>
    <w:lvlOverride w:ilvl="0">
      <w:startOverride w:val="1"/>
    </w:lvlOverride>
  </w:num>
  <w:num w:numId="70" w16cid:durableId="1944873874">
    <w:abstractNumId w:val="4"/>
  </w:num>
  <w:num w:numId="71" w16cid:durableId="1811632511">
    <w:abstractNumId w:val="28"/>
  </w:num>
  <w:num w:numId="72" w16cid:durableId="457114394">
    <w:abstractNumId w:val="16"/>
  </w:num>
  <w:num w:numId="73" w16cid:durableId="1159229372">
    <w:abstractNumId w:val="56"/>
    <w:lvlOverride w:ilvl="0">
      <w:startOverride w:val="1"/>
    </w:lvlOverride>
  </w:num>
  <w:num w:numId="74" w16cid:durableId="1518807807">
    <w:abstractNumId w:val="22"/>
  </w:num>
  <w:num w:numId="75" w16cid:durableId="135026560">
    <w:abstractNumId w:val="5"/>
  </w:num>
  <w:num w:numId="76" w16cid:durableId="2094935526">
    <w:abstractNumId w:val="58"/>
    <w:lvlOverride w:ilvl="0">
      <w:startOverride w:val="1"/>
    </w:lvlOverride>
  </w:num>
  <w:num w:numId="77" w16cid:durableId="1996059151">
    <w:abstractNumId w:val="66"/>
  </w:num>
  <w:num w:numId="78" w16cid:durableId="1923249735">
    <w:abstractNumId w:val="47"/>
  </w:num>
  <w:num w:numId="79" w16cid:durableId="12733947">
    <w:abstractNumId w:val="45"/>
  </w:num>
  <w:num w:numId="80" w16cid:durableId="1508401704">
    <w:abstractNumId w:val="54"/>
  </w:num>
  <w:num w:numId="81" w16cid:durableId="1750805524">
    <w:abstractNumId w:val="21"/>
  </w:num>
  <w:num w:numId="82" w16cid:durableId="1345668871">
    <w:abstractNumId w:val="56"/>
    <w:lvlOverride w:ilvl="0">
      <w:startOverride w:val="1"/>
    </w:lvlOverride>
  </w:num>
  <w:num w:numId="83" w16cid:durableId="662590041">
    <w:abstractNumId w:val="58"/>
    <w:lvlOverride w:ilvl="0">
      <w:startOverride w:val="1"/>
    </w:lvlOverride>
  </w:num>
  <w:num w:numId="84" w16cid:durableId="1410497756">
    <w:abstractNumId w:val="50"/>
  </w:num>
  <w:num w:numId="85" w16cid:durableId="1627541931">
    <w:abstractNumId w:val="52"/>
  </w:num>
  <w:num w:numId="86" w16cid:durableId="2054112856">
    <w:abstractNumId w:val="53"/>
  </w:num>
  <w:num w:numId="87" w16cid:durableId="2038845541">
    <w:abstractNumId w:val="65"/>
  </w:num>
  <w:num w:numId="88" w16cid:durableId="1173884583">
    <w:abstractNumId w:val="43"/>
  </w:num>
  <w:num w:numId="89" w16cid:durableId="1254437371">
    <w:abstractNumId w:val="1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EE"/>
    <w:rsid w:val="00002054"/>
    <w:rsid w:val="000100BA"/>
    <w:rsid w:val="000128AA"/>
    <w:rsid w:val="00023A1E"/>
    <w:rsid w:val="000D0E67"/>
    <w:rsid w:val="00116800"/>
    <w:rsid w:val="00143A8E"/>
    <w:rsid w:val="0015064F"/>
    <w:rsid w:val="001536FF"/>
    <w:rsid w:val="0017108E"/>
    <w:rsid w:val="001776E2"/>
    <w:rsid w:val="001A4ACD"/>
    <w:rsid w:val="001B4E4E"/>
    <w:rsid w:val="001D305B"/>
    <w:rsid w:val="001F47D6"/>
    <w:rsid w:val="002153FF"/>
    <w:rsid w:val="002225AF"/>
    <w:rsid w:val="002426FA"/>
    <w:rsid w:val="002525AE"/>
    <w:rsid w:val="0028246C"/>
    <w:rsid w:val="0028589A"/>
    <w:rsid w:val="002B6F06"/>
    <w:rsid w:val="002E2455"/>
    <w:rsid w:val="002E67F0"/>
    <w:rsid w:val="00302B0C"/>
    <w:rsid w:val="0032321D"/>
    <w:rsid w:val="00370A98"/>
    <w:rsid w:val="00377EDA"/>
    <w:rsid w:val="00382BCA"/>
    <w:rsid w:val="003D4E55"/>
    <w:rsid w:val="003D7BC7"/>
    <w:rsid w:val="003E08AE"/>
    <w:rsid w:val="003F0D75"/>
    <w:rsid w:val="00401452"/>
    <w:rsid w:val="004076E6"/>
    <w:rsid w:val="004214D1"/>
    <w:rsid w:val="00443136"/>
    <w:rsid w:val="00444D85"/>
    <w:rsid w:val="00451E82"/>
    <w:rsid w:val="0046303B"/>
    <w:rsid w:val="0047657F"/>
    <w:rsid w:val="00485127"/>
    <w:rsid w:val="004A378F"/>
    <w:rsid w:val="004D3F66"/>
    <w:rsid w:val="004E2244"/>
    <w:rsid w:val="0050329F"/>
    <w:rsid w:val="00511DCF"/>
    <w:rsid w:val="005222BF"/>
    <w:rsid w:val="00526F18"/>
    <w:rsid w:val="0053554E"/>
    <w:rsid w:val="00561E02"/>
    <w:rsid w:val="005B08BB"/>
    <w:rsid w:val="005E77EC"/>
    <w:rsid w:val="00635EE3"/>
    <w:rsid w:val="006456AF"/>
    <w:rsid w:val="0065075D"/>
    <w:rsid w:val="00683507"/>
    <w:rsid w:val="006A461C"/>
    <w:rsid w:val="006B4461"/>
    <w:rsid w:val="006F7BF4"/>
    <w:rsid w:val="0070120F"/>
    <w:rsid w:val="00715F02"/>
    <w:rsid w:val="00736766"/>
    <w:rsid w:val="00765D18"/>
    <w:rsid w:val="00790547"/>
    <w:rsid w:val="007971C0"/>
    <w:rsid w:val="007A2BA4"/>
    <w:rsid w:val="00876718"/>
    <w:rsid w:val="00885BEE"/>
    <w:rsid w:val="008C10C7"/>
    <w:rsid w:val="008F355B"/>
    <w:rsid w:val="00903F04"/>
    <w:rsid w:val="00905D77"/>
    <w:rsid w:val="00913DBD"/>
    <w:rsid w:val="009205D9"/>
    <w:rsid w:val="00941015"/>
    <w:rsid w:val="00951D23"/>
    <w:rsid w:val="009626F2"/>
    <w:rsid w:val="00980CF2"/>
    <w:rsid w:val="00982B4E"/>
    <w:rsid w:val="009A58B2"/>
    <w:rsid w:val="009A6EFA"/>
    <w:rsid w:val="009B30EE"/>
    <w:rsid w:val="009F13D5"/>
    <w:rsid w:val="00A36744"/>
    <w:rsid w:val="00A41DFB"/>
    <w:rsid w:val="00A73ED7"/>
    <w:rsid w:val="00A93E2C"/>
    <w:rsid w:val="00AC7C21"/>
    <w:rsid w:val="00AD6B47"/>
    <w:rsid w:val="00AE2732"/>
    <w:rsid w:val="00AF370C"/>
    <w:rsid w:val="00B06171"/>
    <w:rsid w:val="00B42BFD"/>
    <w:rsid w:val="00BA066B"/>
    <w:rsid w:val="00BB7919"/>
    <w:rsid w:val="00BD07F7"/>
    <w:rsid w:val="00BD37D5"/>
    <w:rsid w:val="00BD7C03"/>
    <w:rsid w:val="00C11A98"/>
    <w:rsid w:val="00C1321B"/>
    <w:rsid w:val="00C21DC8"/>
    <w:rsid w:val="00C42CDF"/>
    <w:rsid w:val="00C73448"/>
    <w:rsid w:val="00C96089"/>
    <w:rsid w:val="00CA1345"/>
    <w:rsid w:val="00CB4555"/>
    <w:rsid w:val="00CD7A30"/>
    <w:rsid w:val="00CE78DA"/>
    <w:rsid w:val="00CF541E"/>
    <w:rsid w:val="00D461B2"/>
    <w:rsid w:val="00DF2240"/>
    <w:rsid w:val="00DF30E0"/>
    <w:rsid w:val="00DF3C58"/>
    <w:rsid w:val="00E26405"/>
    <w:rsid w:val="00E43066"/>
    <w:rsid w:val="00E706A9"/>
    <w:rsid w:val="00EB1480"/>
    <w:rsid w:val="00EB19D8"/>
    <w:rsid w:val="00EC5360"/>
    <w:rsid w:val="00EE11ED"/>
    <w:rsid w:val="00F86E34"/>
    <w:rsid w:val="00FD26BF"/>
    <w:rsid w:val="00FD3FEA"/>
    <w:rsid w:val="00FE3CC4"/>
    <w:rsid w:val="00FE4B49"/>
    <w:rsid w:val="00FF4D65"/>
    <w:rsid w:val="79234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0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345"/>
    <w:rPr>
      <w:rFonts w:eastAsia="Calibri"/>
      <w:kern w:val="2"/>
      <w:sz w:val="24"/>
      <w:szCs w:val="24"/>
      <w14:ligatures w14:val="standardContextual"/>
    </w:rPr>
  </w:style>
  <w:style w:type="paragraph" w:styleId="Heading1">
    <w:name w:val="heading 1"/>
    <w:aliases w:val="1. Main Sections (Centered),1. TCG Heading 1"/>
    <w:basedOn w:val="Heading2"/>
    <w:link w:val="Heading1Char"/>
    <w:uiPriority w:val="9"/>
    <w:qFormat/>
    <w:rsid w:val="00CA1345"/>
    <w:pPr>
      <w:spacing w:before="360" w:after="480"/>
      <w:jc w:val="center"/>
      <w:outlineLvl w:val="0"/>
    </w:pPr>
    <w:rPr>
      <w:rFonts w:ascii="Times New Roman Bold" w:hAnsi="Times New Roman Bold"/>
      <w:b w:val="0"/>
      <w:bCs w:val="0"/>
      <w:caps/>
      <w:color w:val="auto"/>
      <w:spacing w:val="12"/>
      <w:kern w:val="26"/>
    </w:rPr>
  </w:style>
  <w:style w:type="paragraph" w:styleId="Heading2">
    <w:name w:val="heading 2"/>
    <w:basedOn w:val="Normal"/>
    <w:next w:val="Normal"/>
    <w:link w:val="Heading2Char"/>
    <w:uiPriority w:val="9"/>
    <w:unhideWhenUsed/>
    <w:rsid w:val="00CA1345"/>
    <w:pPr>
      <w:keepNext/>
      <w:keepLines/>
      <w:spacing w:before="200"/>
      <w:outlineLvl w:val="1"/>
    </w:pPr>
    <w:rPr>
      <w:rFonts w:asciiTheme="majorHAnsi" w:eastAsiaTheme="majorEastAsia" w:hAnsiTheme="majorHAnsi" w:cstheme="majorBidi"/>
      <w:b/>
      <w:bCs/>
      <w:color w:val="156082" w:themeColor="accent1"/>
      <w:szCs w:val="26"/>
    </w:rPr>
  </w:style>
  <w:style w:type="paragraph" w:styleId="Heading3">
    <w:name w:val="heading 3"/>
    <w:aliases w:val="3. Heading 3"/>
    <w:basedOn w:val="Normal"/>
    <w:link w:val="Heading3Char"/>
    <w:qFormat/>
    <w:rsid w:val="00AC7C21"/>
    <w:pPr>
      <w:keepNext/>
      <w:numPr>
        <w:numId w:val="3"/>
      </w:numPr>
      <w:spacing w:before="360" w:after="480"/>
      <w:ind w:hanging="720"/>
      <w:outlineLvl w:val="2"/>
    </w:pPr>
    <w:rPr>
      <w:rFonts w:cstheme="majorHAnsi"/>
      <w:b/>
      <w:bCs/>
      <w:szCs w:val="26"/>
    </w:rPr>
  </w:style>
  <w:style w:type="paragraph" w:styleId="Heading4">
    <w:name w:val="heading 4"/>
    <w:aliases w:val="4. Heading 4,3. TCG Heading 4"/>
    <w:basedOn w:val="Normal"/>
    <w:link w:val="Heading4Char"/>
    <w:qFormat/>
    <w:rsid w:val="00CA1345"/>
    <w:pPr>
      <w:numPr>
        <w:numId w:val="11"/>
      </w:numPr>
      <w:spacing w:before="360" w:after="480"/>
      <w:outlineLvl w:val="3"/>
    </w:pPr>
    <w:rPr>
      <w:rFonts w:cstheme="majorHAnsi"/>
      <w:b/>
      <w:bCs/>
      <w:szCs w:val="28"/>
    </w:rPr>
  </w:style>
  <w:style w:type="paragraph" w:styleId="Heading5">
    <w:name w:val="heading 5"/>
    <w:basedOn w:val="Normal"/>
    <w:next w:val="Standard"/>
    <w:link w:val="Heading5Char"/>
    <w:uiPriority w:val="9"/>
    <w:unhideWhenUsed/>
    <w:qFormat/>
    <w:rsid w:val="00CA1345"/>
    <w:pPr>
      <w:keepNext/>
      <w:keepLines/>
      <w:spacing w:before="220" w:after="40"/>
      <w:outlineLvl w:val="4"/>
    </w:pPr>
    <w:rPr>
      <w:rFonts w:cstheme="majorBidi"/>
      <w:b/>
      <w:sz w:val="22"/>
    </w:rPr>
  </w:style>
  <w:style w:type="paragraph" w:styleId="Heading6">
    <w:name w:val="heading 6"/>
    <w:basedOn w:val="Normal"/>
    <w:next w:val="Standard"/>
    <w:link w:val="Heading6Char"/>
    <w:uiPriority w:val="9"/>
    <w:semiHidden/>
    <w:unhideWhenUsed/>
    <w:qFormat/>
    <w:rsid w:val="00CA1345"/>
    <w:pPr>
      <w:keepNext/>
      <w:keepLines/>
      <w:spacing w:before="200" w:after="40"/>
      <w:outlineLvl w:val="5"/>
    </w:pPr>
    <w:rPr>
      <w:rFonts w:cstheme="majorBidi"/>
      <w:b/>
      <w:sz w:val="20"/>
    </w:rPr>
  </w:style>
  <w:style w:type="paragraph" w:styleId="Heading7">
    <w:name w:val="heading 7"/>
    <w:basedOn w:val="Normal"/>
    <w:next w:val="Normal"/>
    <w:link w:val="Heading7Char"/>
    <w:uiPriority w:val="9"/>
    <w:semiHidden/>
    <w:unhideWhenUsed/>
    <w:qFormat/>
    <w:rsid w:val="00CA1345"/>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A134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13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tandard"/>
    <w:link w:val="TitleChar"/>
    <w:uiPriority w:val="10"/>
    <w:qFormat/>
    <w:rsid w:val="00CA1345"/>
    <w:pPr>
      <w:keepNext/>
      <w:keepLines/>
      <w:spacing w:before="480" w:after="120"/>
    </w:pPr>
    <w:rPr>
      <w:rFonts w:cstheme="majorBidi"/>
      <w:b/>
      <w:sz w:val="72"/>
      <w:szCs w:val="72"/>
    </w:rPr>
  </w:style>
  <w:style w:type="paragraph" w:customStyle="1" w:styleId="Strong1">
    <w:name w:val="Strong1"/>
    <w:qFormat/>
    <w:rPr>
      <w:b/>
      <w:bCs/>
    </w:rPr>
  </w:style>
  <w:style w:type="paragraph" w:styleId="ListParagraph">
    <w:name w:val="List Paragraph"/>
    <w:basedOn w:val="Normal"/>
    <w:rsid w:val="00CA1345"/>
    <w:pPr>
      <w:ind w:left="720"/>
    </w:pPr>
  </w:style>
  <w:style w:type="character" w:styleId="Hyperlink">
    <w:name w:val="Hyperlink"/>
    <w:basedOn w:val="DefaultParagraphFont"/>
    <w:uiPriority w:val="99"/>
    <w:unhideWhenUsed/>
    <w:rsid w:val="00CA1345"/>
    <w:rPr>
      <w:color w:val="467886" w:themeColor="hyperlink"/>
      <w:u w:val="single"/>
    </w:rPr>
  </w:style>
  <w:style w:type="character" w:styleId="FootnoteReference">
    <w:name w:val="footnote reference"/>
    <w:basedOn w:val="DefaultParagraphFont"/>
    <w:unhideWhenUsed/>
    <w:rsid w:val="00CA1345"/>
    <w:rPr>
      <w:vertAlign w:val="superscript"/>
    </w:rPr>
  </w:style>
  <w:style w:type="paragraph" w:styleId="FootnoteText">
    <w:name w:val="footnote text"/>
    <w:basedOn w:val="Normal"/>
    <w:link w:val="FootnoteTextChar"/>
    <w:uiPriority w:val="99"/>
    <w:unhideWhenUsed/>
    <w:qFormat/>
    <w:rsid w:val="00CA1345"/>
    <w:rPr>
      <w:sz w:val="20"/>
    </w:rPr>
  </w:style>
  <w:style w:type="character" w:customStyle="1" w:styleId="FootnoteTextChar">
    <w:name w:val="Footnote Text Char"/>
    <w:basedOn w:val="DefaultParagraphFont"/>
    <w:link w:val="FootnoteText"/>
    <w:uiPriority w:val="99"/>
    <w:rsid w:val="00CA1345"/>
    <w:rPr>
      <w:rFonts w:eastAsia="Calibri"/>
      <w:kern w:val="2"/>
      <w:szCs w:val="24"/>
      <w14:ligatures w14:val="standardContextual"/>
    </w:rPr>
  </w:style>
  <w:style w:type="character" w:styleId="EndnoteReference">
    <w:name w:val="endnote reference"/>
    <w:uiPriority w:val="99"/>
    <w:semiHidden/>
    <w:unhideWhenUsed/>
    <w:rPr>
      <w:vertAlign w:val="superscript"/>
    </w:rPr>
  </w:style>
  <w:style w:type="paragraph" w:styleId="EndnoteText">
    <w:name w:val="endnote text"/>
    <w:link w:val="EndnoteTextChar"/>
    <w:semiHidden/>
    <w:unhideWhenUsed/>
  </w:style>
  <w:style w:type="character" w:customStyle="1" w:styleId="EndnoteTextChar">
    <w:name w:val="Endnote Text Char"/>
    <w:basedOn w:val="DefaultParagraphFont"/>
    <w:link w:val="EndnoteText"/>
    <w:rsid w:val="00CA1345"/>
  </w:style>
  <w:style w:type="paragraph" w:styleId="Header">
    <w:name w:val="header"/>
    <w:basedOn w:val="Normal"/>
    <w:link w:val="HeaderChar"/>
    <w:uiPriority w:val="99"/>
    <w:rsid w:val="00CA1345"/>
    <w:pPr>
      <w:tabs>
        <w:tab w:val="center" w:pos="4680"/>
        <w:tab w:val="right" w:pos="9360"/>
      </w:tabs>
    </w:pPr>
  </w:style>
  <w:style w:type="character" w:customStyle="1" w:styleId="HeaderChar">
    <w:name w:val="Header Char"/>
    <w:basedOn w:val="DefaultParagraphFont"/>
    <w:link w:val="Header"/>
    <w:uiPriority w:val="99"/>
    <w:rsid w:val="00CA1345"/>
    <w:rPr>
      <w:rFonts w:eastAsia="Calibri"/>
      <w:kern w:val="2"/>
      <w:sz w:val="24"/>
      <w:szCs w:val="24"/>
      <w14:ligatures w14:val="standardContextual"/>
    </w:rPr>
  </w:style>
  <w:style w:type="paragraph" w:styleId="Footer">
    <w:name w:val="footer"/>
    <w:basedOn w:val="Normal"/>
    <w:link w:val="FooterChar"/>
    <w:uiPriority w:val="99"/>
    <w:rsid w:val="00CA1345"/>
    <w:pPr>
      <w:tabs>
        <w:tab w:val="center" w:pos="4680"/>
        <w:tab w:val="right" w:pos="9360"/>
      </w:tabs>
    </w:pPr>
  </w:style>
  <w:style w:type="character" w:customStyle="1" w:styleId="FooterChar">
    <w:name w:val="Footer Char"/>
    <w:basedOn w:val="DefaultParagraphFont"/>
    <w:link w:val="Footer"/>
    <w:uiPriority w:val="99"/>
    <w:rsid w:val="00CA1345"/>
    <w:rPr>
      <w:rFonts w:eastAsia="Calibri"/>
      <w:kern w:val="2"/>
      <w:sz w:val="24"/>
      <w:szCs w:val="24"/>
      <w14:ligatures w14:val="standardContextual"/>
    </w:rPr>
  </w:style>
  <w:style w:type="paragraph" w:styleId="NormalWeb">
    <w:name w:val="Normal (Web)"/>
    <w:basedOn w:val="Normal"/>
    <w:uiPriority w:val="99"/>
    <w:semiHidden/>
    <w:unhideWhenUsed/>
    <w:rsid w:val="00CA1345"/>
  </w:style>
  <w:style w:type="paragraph" w:customStyle="1" w:styleId="1CenteredMainHeading">
    <w:name w:val="1.Centered Main Heading"/>
    <w:basedOn w:val="Heading1"/>
    <w:link w:val="1CenteredMainHeadingChar"/>
    <w:qFormat/>
    <w:rsid w:val="00905D77"/>
    <w:pPr>
      <w:numPr>
        <w:numId w:val="85"/>
      </w:numPr>
      <w:ind w:hanging="720"/>
      <w:jc w:val="left"/>
    </w:pPr>
    <w:rPr>
      <w:i/>
      <w:iCs/>
      <w:caps w:val="0"/>
    </w:rPr>
  </w:style>
  <w:style w:type="character" w:customStyle="1" w:styleId="1CenteredMainHeadingChar">
    <w:name w:val="1.Centered Main Heading Char"/>
    <w:basedOn w:val="DefaultParagraphFont"/>
    <w:link w:val="1CenteredMainHeading"/>
    <w:rsid w:val="00905D77"/>
    <w:rPr>
      <w:rFonts w:ascii="Times New Roman Bold" w:eastAsiaTheme="majorEastAsia" w:hAnsi="Times New Roman Bold" w:cstheme="majorBidi"/>
      <w:i/>
      <w:iCs/>
      <w:spacing w:val="12"/>
      <w:kern w:val="26"/>
      <w:sz w:val="24"/>
      <w:szCs w:val="26"/>
      <w14:ligatures w14:val="standardContextual"/>
    </w:rPr>
  </w:style>
  <w:style w:type="character" w:customStyle="1" w:styleId="Heading2Char">
    <w:name w:val="Heading 2 Char"/>
    <w:basedOn w:val="DefaultParagraphFont"/>
    <w:link w:val="Heading2"/>
    <w:uiPriority w:val="9"/>
    <w:rsid w:val="00CA1345"/>
    <w:rPr>
      <w:rFonts w:asciiTheme="majorHAnsi" w:eastAsiaTheme="majorEastAsia" w:hAnsiTheme="majorHAnsi" w:cstheme="majorBidi"/>
      <w:b/>
      <w:bCs/>
      <w:color w:val="156082" w:themeColor="accent1"/>
      <w:kern w:val="2"/>
      <w:sz w:val="24"/>
      <w:szCs w:val="26"/>
      <w14:ligatures w14:val="standardContextual"/>
    </w:rPr>
  </w:style>
  <w:style w:type="paragraph" w:customStyle="1" w:styleId="2TCGHeading2">
    <w:name w:val="2. TCG Heading 2"/>
    <w:basedOn w:val="Heading2"/>
    <w:link w:val="2TCGHeading2Char"/>
    <w:qFormat/>
    <w:rsid w:val="00AC7C21"/>
    <w:pPr>
      <w:numPr>
        <w:numId w:val="1"/>
      </w:numPr>
      <w:tabs>
        <w:tab w:val="left" w:pos="2347"/>
      </w:tabs>
      <w:spacing w:before="360" w:after="360"/>
      <w:ind w:left="1440" w:hanging="720"/>
    </w:pPr>
    <w:rPr>
      <w:rFonts w:ascii="Times New Roman Bold" w:hAnsi="Times New Roman Bold"/>
      <w:smallCaps/>
      <w:color w:val="auto"/>
      <w:spacing w:val="12"/>
      <w:kern w:val="16"/>
    </w:rPr>
  </w:style>
  <w:style w:type="character" w:customStyle="1" w:styleId="2TCGHeading2Char">
    <w:name w:val="2. TCG Heading 2 Char"/>
    <w:basedOn w:val="DefaultParagraphFont"/>
    <w:link w:val="2TCGHeading2"/>
    <w:rsid w:val="00AC7C21"/>
    <w:rPr>
      <w:rFonts w:ascii="Times New Roman Bold" w:eastAsiaTheme="majorEastAsia" w:hAnsi="Times New Roman Bold" w:cstheme="majorBidi"/>
      <w:b/>
      <w:bCs/>
      <w:smallCaps/>
      <w:spacing w:val="12"/>
      <w:kern w:val="16"/>
      <w:sz w:val="24"/>
      <w:szCs w:val="26"/>
      <w14:ligatures w14:val="standardContextual"/>
    </w:rPr>
  </w:style>
  <w:style w:type="paragraph" w:customStyle="1" w:styleId="5TitleHeading">
    <w:name w:val="5. Title Heading"/>
    <w:basedOn w:val="Normal"/>
    <w:link w:val="5TitleHeadingChar"/>
    <w:qFormat/>
    <w:rsid w:val="00CA1345"/>
    <w:pPr>
      <w:keepNext/>
      <w:spacing w:before="360" w:after="480"/>
      <w:jc w:val="center"/>
      <w:outlineLvl w:val="0"/>
    </w:pPr>
    <w:rPr>
      <w:rFonts w:ascii="Times New Roman Bold" w:eastAsia="Times New Roman" w:hAnsi="Times New Roman Bold" w:cstheme="minorHAnsi"/>
      <w:b/>
      <w:caps/>
      <w:szCs w:val="26"/>
    </w:rPr>
  </w:style>
  <w:style w:type="character" w:customStyle="1" w:styleId="5TitleHeadingChar">
    <w:name w:val="5. Title Heading Char"/>
    <w:basedOn w:val="DefaultParagraphFont"/>
    <w:link w:val="5TitleHeading"/>
    <w:rsid w:val="00CA1345"/>
    <w:rPr>
      <w:rFonts w:ascii="Times New Roman Bold" w:hAnsi="Times New Roman Bold" w:cstheme="minorHAnsi"/>
      <w:b/>
      <w:caps/>
      <w:kern w:val="2"/>
      <w:sz w:val="24"/>
      <w:szCs w:val="26"/>
      <w14:ligatures w14:val="standardContextual"/>
    </w:rPr>
  </w:style>
  <w:style w:type="paragraph" w:customStyle="1" w:styleId="AOpinionTextStyle">
    <w:name w:val="A. Opinion Text Style"/>
    <w:basedOn w:val="Normal"/>
    <w:link w:val="AOpinionTextStyleChar"/>
    <w:qFormat/>
    <w:rsid w:val="00CA1345"/>
    <w:pPr>
      <w:suppressAutoHyphens/>
      <w:spacing w:before="240" w:after="360" w:line="320" w:lineRule="exact"/>
      <w:ind w:firstLine="720"/>
      <w:jc w:val="both"/>
    </w:pPr>
    <w:rPr>
      <w:rFonts w:eastAsia="Times New Roman" w:cstheme="minorHAnsi"/>
      <w:bCs/>
      <w:kern w:val="16"/>
    </w:rPr>
  </w:style>
  <w:style w:type="character" w:customStyle="1" w:styleId="AOpinionTextStyleChar">
    <w:name w:val="A. Opinion Text Style Char"/>
    <w:basedOn w:val="DefaultParagraphFont"/>
    <w:link w:val="AOpinionTextStyle"/>
    <w:rsid w:val="00CA1345"/>
    <w:rPr>
      <w:rFonts w:cstheme="minorHAnsi"/>
      <w:bCs/>
      <w:kern w:val="16"/>
      <w:sz w:val="24"/>
      <w:szCs w:val="24"/>
      <w14:ligatures w14:val="standardContextual"/>
    </w:rPr>
  </w:style>
  <w:style w:type="paragraph" w:customStyle="1" w:styleId="AOutlineStyle">
    <w:name w:val="A. Outline Style"/>
    <w:basedOn w:val="Normal"/>
    <w:link w:val="AOutlineStyleChar"/>
    <w:rsid w:val="00CA1345"/>
    <w:pPr>
      <w:spacing w:before="240" w:after="360"/>
      <w:ind w:firstLine="720"/>
    </w:pPr>
    <w:rPr>
      <w:rFonts w:eastAsia="Times New Roman" w:cstheme="minorHAnsi"/>
      <w:bCs/>
    </w:rPr>
  </w:style>
  <w:style w:type="character" w:customStyle="1" w:styleId="AOutlineStyleChar">
    <w:name w:val="A. Outline Style Char"/>
    <w:basedOn w:val="DefaultParagraphFont"/>
    <w:link w:val="AOutlineStyle"/>
    <w:rsid w:val="00CA1345"/>
    <w:rPr>
      <w:rFonts w:cstheme="minorHAnsi"/>
      <w:bCs/>
      <w:kern w:val="2"/>
      <w:sz w:val="24"/>
      <w:szCs w:val="24"/>
      <w14:ligatures w14:val="standardContextual"/>
    </w:rPr>
  </w:style>
  <w:style w:type="character" w:customStyle="1" w:styleId="apple-converted-space">
    <w:name w:val="apple-converted-space"/>
    <w:basedOn w:val="DefaultParagraphFont"/>
    <w:rsid w:val="00CA1345"/>
  </w:style>
  <w:style w:type="paragraph" w:customStyle="1" w:styleId="BBlockQuote">
    <w:name w:val="B. Block Quote"/>
    <w:basedOn w:val="Normal"/>
    <w:link w:val="BBlockQuoteChar"/>
    <w:qFormat/>
    <w:rsid w:val="00CA1345"/>
    <w:pPr>
      <w:autoSpaceDE w:val="0"/>
      <w:autoSpaceDN w:val="0"/>
      <w:adjustRightInd w:val="0"/>
      <w:spacing w:before="360" w:after="360"/>
      <w:ind w:left="720" w:right="720"/>
      <w:jc w:val="both"/>
    </w:pPr>
    <w:rPr>
      <w:rFonts w:cstheme="minorHAnsi"/>
      <w:color w:val="000000"/>
      <w:kern w:val="16"/>
    </w:rPr>
  </w:style>
  <w:style w:type="character" w:customStyle="1" w:styleId="BBlockQuoteChar">
    <w:name w:val="B. Block Quote Char"/>
    <w:basedOn w:val="DefaultParagraphFont"/>
    <w:link w:val="BBlockQuote"/>
    <w:rsid w:val="00CA1345"/>
    <w:rPr>
      <w:rFonts w:eastAsia="Calibri" w:cstheme="minorHAnsi"/>
      <w:color w:val="000000"/>
      <w:kern w:val="16"/>
      <w:sz w:val="24"/>
      <w:szCs w:val="24"/>
      <w14:ligatures w14:val="standardContextual"/>
    </w:rPr>
  </w:style>
  <w:style w:type="paragraph" w:customStyle="1" w:styleId="BBriefMainBody">
    <w:name w:val="B. Brief Main Body"/>
    <w:basedOn w:val="Normal"/>
    <w:link w:val="BBriefMainBodyChar"/>
    <w:rsid w:val="00CA1345"/>
    <w:pPr>
      <w:spacing w:line="480" w:lineRule="auto"/>
      <w:ind w:firstLine="720"/>
      <w:jc w:val="both"/>
    </w:pPr>
    <w:rPr>
      <w:rFonts w:eastAsia="Times New Roman" w:cstheme="minorHAnsi"/>
      <w:bCs/>
      <w:kern w:val="0"/>
      <w14:ligatures w14:val="none"/>
    </w:rPr>
  </w:style>
  <w:style w:type="character" w:customStyle="1" w:styleId="BBriefMainBodyChar">
    <w:name w:val="B. Brief Main Body Char"/>
    <w:basedOn w:val="DefaultParagraphFont"/>
    <w:link w:val="BBriefMainBody"/>
    <w:rsid w:val="00CA1345"/>
    <w:rPr>
      <w:rFonts w:cstheme="minorHAnsi"/>
      <w:bCs/>
      <w:sz w:val="24"/>
      <w:szCs w:val="24"/>
    </w:rPr>
  </w:style>
  <w:style w:type="paragraph" w:styleId="BalloonText">
    <w:name w:val="Balloon Text"/>
    <w:basedOn w:val="Normal"/>
    <w:link w:val="BalloonTextChar"/>
    <w:uiPriority w:val="99"/>
    <w:unhideWhenUsed/>
    <w:rsid w:val="00CA1345"/>
    <w:rPr>
      <w:rFonts w:cs="Tahoma"/>
      <w:szCs w:val="16"/>
    </w:rPr>
  </w:style>
  <w:style w:type="character" w:customStyle="1" w:styleId="BalloonTextChar">
    <w:name w:val="Balloon Text Char"/>
    <w:basedOn w:val="DefaultParagraphFont"/>
    <w:link w:val="BalloonText"/>
    <w:uiPriority w:val="99"/>
    <w:rsid w:val="00CA1345"/>
    <w:rPr>
      <w:rFonts w:eastAsia="Calibri" w:cs="Tahoma"/>
      <w:kern w:val="2"/>
      <w:sz w:val="24"/>
      <w:szCs w:val="16"/>
      <w14:ligatures w14:val="standardContextual"/>
    </w:rPr>
  </w:style>
  <w:style w:type="paragraph" w:customStyle="1" w:styleId="bj">
    <w:name w:val="bj"/>
    <w:rsid w:val="00CA1345"/>
    <w:rPr>
      <w:rFonts w:eastAsiaTheme="minorHAnsi" w:cstheme="minorHAnsi"/>
      <w:sz w:val="24"/>
      <w:szCs w:val="24"/>
    </w:rPr>
  </w:style>
  <w:style w:type="paragraph" w:customStyle="1" w:styleId="BlockQuote">
    <w:name w:val="Block Quote"/>
    <w:basedOn w:val="Normal"/>
    <w:rsid w:val="00CA1345"/>
    <w:pPr>
      <w:ind w:left="720" w:right="720"/>
      <w:jc w:val="center"/>
    </w:pPr>
    <w:rPr>
      <w:szCs w:val="30"/>
    </w:rPr>
  </w:style>
  <w:style w:type="paragraph" w:customStyle="1" w:styleId="CFootnoteStyle">
    <w:name w:val="C. Footnote Style"/>
    <w:basedOn w:val="Normal"/>
    <w:link w:val="CFootnoteStyleChar"/>
    <w:qFormat/>
    <w:rsid w:val="00CA1345"/>
    <w:pPr>
      <w:suppressAutoHyphens/>
      <w:spacing w:after="80" w:line="280" w:lineRule="exact"/>
      <w:ind w:firstLine="720"/>
      <w:jc w:val="both"/>
    </w:pPr>
    <w:rPr>
      <w:rFonts w:cstheme="minorHAnsi"/>
      <w:kern w:val="16"/>
      <w:sz w:val="22"/>
    </w:rPr>
  </w:style>
  <w:style w:type="character" w:customStyle="1" w:styleId="CFootnoteStyleChar">
    <w:name w:val="C. Footnote Style Char"/>
    <w:basedOn w:val="DefaultParagraphFont"/>
    <w:link w:val="CFootnoteStyle"/>
    <w:rsid w:val="00CA1345"/>
    <w:rPr>
      <w:rFonts w:eastAsia="Calibri" w:cstheme="minorHAnsi"/>
      <w:kern w:val="16"/>
      <w:sz w:val="22"/>
      <w:szCs w:val="24"/>
      <w14:ligatures w14:val="standardContextual"/>
    </w:rPr>
  </w:style>
  <w:style w:type="paragraph" w:customStyle="1" w:styleId="Footnote">
    <w:name w:val="Footnote"/>
    <w:basedOn w:val="Normal"/>
    <w:rsid w:val="00CA1345"/>
    <w:rPr>
      <w:sz w:val="20"/>
    </w:rPr>
  </w:style>
  <w:style w:type="paragraph" w:customStyle="1" w:styleId="CTCGFootnoteStyle">
    <w:name w:val="C. TCG Footnote Style"/>
    <w:basedOn w:val="Footnote"/>
    <w:rsid w:val="00CA1345"/>
    <w:pPr>
      <w:spacing w:after="80"/>
      <w:ind w:firstLine="720"/>
    </w:pPr>
    <w:rPr>
      <w:rFonts w:cs="Calibri"/>
    </w:rPr>
  </w:style>
  <w:style w:type="character" w:customStyle="1" w:styleId="CTCGFootnoteStyleChar">
    <w:name w:val="C. TCG Footnote Style Char"/>
    <w:basedOn w:val="DefaultParagraphFont"/>
    <w:rsid w:val="00CA1345"/>
    <w:rPr>
      <w:rFonts w:ascii="Times New Roman" w:eastAsia="Calibri" w:hAnsi="Times New Roman" w:cs="Calibri"/>
    </w:rPr>
  </w:style>
  <w:style w:type="paragraph" w:customStyle="1" w:styleId="Standard">
    <w:name w:val="Standard"/>
    <w:rsid w:val="00CA1345"/>
    <w:pPr>
      <w:suppressAutoHyphens/>
      <w:autoSpaceDN w:val="0"/>
      <w:jc w:val="both"/>
      <w:textAlignment w:val="baseline"/>
    </w:pPr>
    <w:rPr>
      <w:rFonts w:eastAsia="Calibri"/>
      <w:sz w:val="26"/>
      <w:szCs w:val="26"/>
      <w:lang w:eastAsia="zh-CN" w:bidi="hi-IN"/>
    </w:rPr>
  </w:style>
  <w:style w:type="paragraph" w:styleId="Caption">
    <w:name w:val="caption"/>
    <w:basedOn w:val="Standard"/>
    <w:rsid w:val="00CA1345"/>
    <w:pPr>
      <w:suppressLineNumbers/>
      <w:spacing w:before="120" w:after="120"/>
    </w:pPr>
    <w:rPr>
      <w:i/>
      <w:iCs/>
      <w:sz w:val="24"/>
      <w:szCs w:val="24"/>
    </w:rPr>
  </w:style>
  <w:style w:type="character" w:styleId="CommentReference">
    <w:name w:val="annotation reference"/>
    <w:basedOn w:val="DefaultParagraphFont"/>
    <w:uiPriority w:val="99"/>
    <w:rsid w:val="00CA1345"/>
    <w:rPr>
      <w:sz w:val="16"/>
      <w:szCs w:val="16"/>
    </w:rPr>
  </w:style>
  <w:style w:type="paragraph" w:styleId="CommentText">
    <w:name w:val="annotation text"/>
    <w:basedOn w:val="Normal"/>
    <w:link w:val="CommentTextChar"/>
    <w:uiPriority w:val="99"/>
    <w:unhideWhenUsed/>
    <w:rsid w:val="00CA1345"/>
  </w:style>
  <w:style w:type="character" w:customStyle="1" w:styleId="CommentTextChar">
    <w:name w:val="Comment Text Char"/>
    <w:basedOn w:val="DefaultParagraphFont"/>
    <w:link w:val="CommentText"/>
    <w:uiPriority w:val="99"/>
    <w:rsid w:val="00CA1345"/>
    <w:rPr>
      <w:rFonts w:eastAsia="Calibri"/>
      <w:kern w:val="2"/>
      <w:sz w:val="24"/>
      <w:szCs w:val="24"/>
      <w14:ligatures w14:val="standardContextual"/>
    </w:rPr>
  </w:style>
  <w:style w:type="paragraph" w:styleId="CommentSubject">
    <w:name w:val="annotation subject"/>
    <w:basedOn w:val="CommentText"/>
    <w:link w:val="CommentSubjectChar"/>
    <w:rsid w:val="00CA1345"/>
    <w:rPr>
      <w:b/>
      <w:bCs/>
    </w:rPr>
  </w:style>
  <w:style w:type="character" w:customStyle="1" w:styleId="CommentSubjectChar">
    <w:name w:val="Comment Subject Char"/>
    <w:basedOn w:val="CommentTextChar"/>
    <w:link w:val="CommentSubject"/>
    <w:rsid w:val="00CA1345"/>
    <w:rPr>
      <w:rFonts w:eastAsia="Calibri"/>
      <w:b/>
      <w:bCs/>
      <w:kern w:val="2"/>
      <w:sz w:val="24"/>
      <w:szCs w:val="24"/>
      <w14:ligatures w14:val="standardContextual"/>
    </w:rPr>
  </w:style>
  <w:style w:type="numbering" w:customStyle="1" w:styleId="CurrentList1">
    <w:name w:val="Current List1"/>
    <w:basedOn w:val="NoList"/>
    <w:rsid w:val="00CA1345"/>
    <w:pPr>
      <w:numPr>
        <w:numId w:val="2"/>
      </w:numPr>
    </w:pPr>
  </w:style>
  <w:style w:type="paragraph" w:customStyle="1" w:styleId="DBlockQuote">
    <w:name w:val="D. Block Quote"/>
    <w:basedOn w:val="Normal"/>
    <w:link w:val="DBlockQuoteChar"/>
    <w:rsid w:val="00CA1345"/>
    <w:pPr>
      <w:autoSpaceDE w:val="0"/>
      <w:autoSpaceDN w:val="0"/>
      <w:adjustRightInd w:val="0"/>
      <w:spacing w:before="240" w:after="240"/>
      <w:ind w:left="720" w:right="720"/>
    </w:pPr>
    <w:rPr>
      <w:rFonts w:cstheme="minorHAnsi"/>
      <w:color w:val="000000"/>
    </w:rPr>
  </w:style>
  <w:style w:type="character" w:customStyle="1" w:styleId="DBlockQuoteChar">
    <w:name w:val="D. Block Quote Char"/>
    <w:basedOn w:val="DefaultParagraphFont"/>
    <w:link w:val="DBlockQuote"/>
    <w:rsid w:val="00CA1345"/>
    <w:rPr>
      <w:rFonts w:eastAsia="Calibri" w:cstheme="minorHAnsi"/>
      <w:color w:val="000000"/>
      <w:kern w:val="2"/>
      <w:sz w:val="24"/>
      <w:szCs w:val="24"/>
      <w14:ligatures w14:val="standardContextual"/>
    </w:rPr>
  </w:style>
  <w:style w:type="paragraph" w:customStyle="1" w:styleId="DLetterCorrespondenceText">
    <w:name w:val="D. Letter &amp; Correspondence Text"/>
    <w:basedOn w:val="Normal"/>
    <w:link w:val="DLetterCorrespondenceTextChar"/>
    <w:qFormat/>
    <w:rsid w:val="00CA1345"/>
    <w:rPr>
      <w:rFonts w:cstheme="minorHAnsi"/>
    </w:rPr>
  </w:style>
  <w:style w:type="character" w:customStyle="1" w:styleId="DLetterCorrespondenceTextChar">
    <w:name w:val="D. Letter &amp; Correspondence Text Char"/>
    <w:link w:val="DLetterCorrespondenceText"/>
    <w:rsid w:val="00CA1345"/>
    <w:rPr>
      <w:rFonts w:eastAsia="Calibri" w:cstheme="minorHAnsi"/>
      <w:kern w:val="2"/>
      <w:sz w:val="24"/>
      <w:szCs w:val="24"/>
      <w14:ligatures w14:val="standardContextual"/>
    </w:rPr>
  </w:style>
  <w:style w:type="character" w:styleId="Emphasis">
    <w:name w:val="Emphasis"/>
    <w:basedOn w:val="DefaultParagraphFont"/>
    <w:rsid w:val="00CA1345"/>
    <w:rPr>
      <w:i/>
      <w:iCs/>
    </w:rPr>
  </w:style>
  <w:style w:type="paragraph" w:customStyle="1" w:styleId="Endnote">
    <w:name w:val="Endnote"/>
    <w:basedOn w:val="Normal"/>
    <w:rsid w:val="00CA1345"/>
    <w:rPr>
      <w:sz w:val="20"/>
    </w:rPr>
  </w:style>
  <w:style w:type="character" w:customStyle="1" w:styleId="Endnoteanchor">
    <w:name w:val="Endnote anchor"/>
    <w:rsid w:val="00CA1345"/>
    <w:rPr>
      <w:position w:val="0"/>
      <w:vertAlign w:val="superscript"/>
    </w:rPr>
  </w:style>
  <w:style w:type="character" w:customStyle="1" w:styleId="EndnoteSymbol">
    <w:name w:val="Endnote Symbol"/>
    <w:rsid w:val="00CA1345"/>
    <w:rPr>
      <w:position w:val="0"/>
      <w:vertAlign w:val="superscript"/>
    </w:rPr>
  </w:style>
  <w:style w:type="character" w:customStyle="1" w:styleId="Footnoteanchor">
    <w:name w:val="Footnote anchor"/>
    <w:rsid w:val="00CA1345"/>
    <w:rPr>
      <w:position w:val="0"/>
      <w:vertAlign w:val="superscript"/>
    </w:rPr>
  </w:style>
  <w:style w:type="character" w:customStyle="1" w:styleId="FootnoteSymbol">
    <w:name w:val="Footnote Symbol"/>
    <w:basedOn w:val="DefaultParagraphFont"/>
    <w:rsid w:val="00CA1345"/>
    <w:rPr>
      <w:position w:val="0"/>
      <w:vertAlign w:val="superscript"/>
    </w:rPr>
  </w:style>
  <w:style w:type="character" w:customStyle="1" w:styleId="FootnoteTextChar1">
    <w:name w:val="Footnote Text Char1"/>
    <w:basedOn w:val="DefaultParagraphFont"/>
    <w:uiPriority w:val="99"/>
    <w:semiHidden/>
    <w:rsid w:val="00CA1345"/>
    <w:rPr>
      <w:rFonts w:ascii="Times New Roman" w:eastAsiaTheme="minorHAnsi" w:hAnsi="Times New Roman" w:cs="Times New Roman"/>
      <w:sz w:val="20"/>
      <w:szCs w:val="20"/>
      <w:lang w:eastAsia="en-US" w:bidi="ar-SA"/>
    </w:rPr>
  </w:style>
  <w:style w:type="paragraph" w:customStyle="1" w:styleId="Heading">
    <w:name w:val="Heading"/>
    <w:basedOn w:val="Standard"/>
    <w:next w:val="Normal"/>
    <w:rsid w:val="00CA1345"/>
    <w:pPr>
      <w:keepNext/>
      <w:spacing w:before="240" w:after="120"/>
    </w:pPr>
    <w:rPr>
      <w:rFonts w:ascii="Liberation Sans" w:eastAsia="Linux Libertine G" w:hAnsi="Liberation Sans" w:cs="Linux Libertine G"/>
      <w:sz w:val="28"/>
      <w:szCs w:val="28"/>
    </w:rPr>
  </w:style>
  <w:style w:type="character" w:customStyle="1" w:styleId="Heading1Char">
    <w:name w:val="Heading 1 Char"/>
    <w:aliases w:val="1. Main Sections (Centered) Char,1. TCG Heading 1 Char"/>
    <w:basedOn w:val="DefaultParagraphFont"/>
    <w:link w:val="Heading1"/>
    <w:uiPriority w:val="9"/>
    <w:rsid w:val="00CA1345"/>
    <w:rPr>
      <w:rFonts w:ascii="Times New Roman Bold" w:eastAsiaTheme="majorEastAsia" w:hAnsi="Times New Roman Bold" w:cstheme="majorBidi"/>
      <w:caps/>
      <w:spacing w:val="12"/>
      <w:kern w:val="26"/>
      <w:sz w:val="24"/>
      <w:szCs w:val="26"/>
      <w14:ligatures w14:val="standardContextual"/>
    </w:rPr>
  </w:style>
  <w:style w:type="character" w:customStyle="1" w:styleId="Heading3Char">
    <w:name w:val="Heading 3 Char"/>
    <w:aliases w:val="3. Heading 3 Char"/>
    <w:basedOn w:val="DefaultParagraphFont"/>
    <w:link w:val="Heading3"/>
    <w:rsid w:val="00AC7C21"/>
    <w:rPr>
      <w:rFonts w:eastAsia="Calibri" w:cstheme="majorHAnsi"/>
      <w:b/>
      <w:bCs/>
      <w:kern w:val="2"/>
      <w:sz w:val="24"/>
      <w:szCs w:val="26"/>
      <w14:ligatures w14:val="standardContextual"/>
    </w:rPr>
  </w:style>
  <w:style w:type="character" w:customStyle="1" w:styleId="Heading4Char">
    <w:name w:val="Heading 4 Char"/>
    <w:aliases w:val="4. Heading 4 Char,3. TCG Heading 4 Char"/>
    <w:basedOn w:val="DefaultParagraphFont"/>
    <w:link w:val="Heading4"/>
    <w:rsid w:val="00CA1345"/>
    <w:rPr>
      <w:rFonts w:eastAsia="Calibri" w:cstheme="majorHAnsi"/>
      <w:b/>
      <w:bCs/>
      <w:kern w:val="2"/>
      <w:sz w:val="24"/>
      <w:szCs w:val="28"/>
      <w14:ligatures w14:val="standardContextual"/>
    </w:rPr>
  </w:style>
  <w:style w:type="character" w:customStyle="1" w:styleId="Heading5Char">
    <w:name w:val="Heading 5 Char"/>
    <w:basedOn w:val="DefaultParagraphFont"/>
    <w:link w:val="Heading5"/>
    <w:uiPriority w:val="9"/>
    <w:rsid w:val="00CA1345"/>
    <w:rPr>
      <w:rFonts w:eastAsia="Calibri" w:cstheme="majorBidi"/>
      <w:b/>
      <w:kern w:val="2"/>
      <w:sz w:val="22"/>
      <w:szCs w:val="24"/>
      <w14:ligatures w14:val="standardContextual"/>
    </w:rPr>
  </w:style>
  <w:style w:type="character" w:customStyle="1" w:styleId="Heading6Char">
    <w:name w:val="Heading 6 Char"/>
    <w:basedOn w:val="DefaultParagraphFont"/>
    <w:link w:val="Heading6"/>
    <w:uiPriority w:val="9"/>
    <w:semiHidden/>
    <w:rsid w:val="00CA1345"/>
    <w:rPr>
      <w:rFonts w:eastAsia="Calibri" w:cstheme="majorBidi"/>
      <w:b/>
      <w:kern w:val="2"/>
      <w:szCs w:val="24"/>
      <w14:ligatures w14:val="standardContextual"/>
    </w:rPr>
  </w:style>
  <w:style w:type="character" w:customStyle="1" w:styleId="Heading7Char">
    <w:name w:val="Heading 7 Char"/>
    <w:basedOn w:val="DefaultParagraphFont"/>
    <w:link w:val="Heading7"/>
    <w:uiPriority w:val="9"/>
    <w:semiHidden/>
    <w:rsid w:val="00CA1345"/>
    <w:rPr>
      <w:rFonts w:asciiTheme="majorHAnsi" w:eastAsiaTheme="majorEastAsia" w:hAnsiTheme="majorHAnsi" w:cstheme="majorBidi"/>
      <w:i/>
      <w:iCs/>
      <w:color w:val="0A2F40" w:themeColor="accent1" w:themeShade="7F"/>
      <w:kern w:val="2"/>
      <w:sz w:val="24"/>
      <w:szCs w:val="24"/>
      <w14:ligatures w14:val="standardContextual"/>
    </w:rPr>
  </w:style>
  <w:style w:type="character" w:customStyle="1" w:styleId="Heading8Char">
    <w:name w:val="Heading 8 Char"/>
    <w:basedOn w:val="DefaultParagraphFont"/>
    <w:link w:val="Heading8"/>
    <w:uiPriority w:val="9"/>
    <w:semiHidden/>
    <w:rsid w:val="00CA1345"/>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semiHidden/>
    <w:rsid w:val="00CA1345"/>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Index">
    <w:name w:val="Index"/>
    <w:basedOn w:val="Standard"/>
    <w:rsid w:val="00CA1345"/>
    <w:pPr>
      <w:suppressLineNumbers/>
    </w:pPr>
    <w:rPr>
      <w:sz w:val="24"/>
    </w:rPr>
  </w:style>
  <w:style w:type="character" w:styleId="IntenseEmphasis">
    <w:name w:val="Intense Emphasis"/>
    <w:basedOn w:val="DefaultParagraphFont"/>
    <w:uiPriority w:val="21"/>
    <w:qFormat/>
    <w:rsid w:val="00CA1345"/>
    <w:rPr>
      <w:i/>
      <w:iCs/>
      <w:color w:val="156082" w:themeColor="accent1"/>
    </w:rPr>
  </w:style>
  <w:style w:type="paragraph" w:styleId="IntenseQuote">
    <w:name w:val="Intense Quote"/>
    <w:basedOn w:val="Normal"/>
    <w:next w:val="Normal"/>
    <w:link w:val="IntenseQuoteChar"/>
    <w:uiPriority w:val="30"/>
    <w:qFormat/>
    <w:rsid w:val="00CA1345"/>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CA1345"/>
    <w:rPr>
      <w:rFonts w:eastAsia="Calibri"/>
      <w:i/>
      <w:iCs/>
      <w:color w:val="156082" w:themeColor="accent1"/>
      <w:kern w:val="2"/>
      <w:sz w:val="24"/>
      <w:szCs w:val="24"/>
      <w14:ligatures w14:val="standardContextual"/>
    </w:rPr>
  </w:style>
  <w:style w:type="character" w:styleId="IntenseReference">
    <w:name w:val="Intense Reference"/>
    <w:basedOn w:val="DefaultParagraphFont"/>
    <w:uiPriority w:val="32"/>
    <w:qFormat/>
    <w:rsid w:val="00CA1345"/>
    <w:rPr>
      <w:b/>
      <w:bCs/>
      <w:smallCaps/>
      <w:color w:val="156082" w:themeColor="accent1"/>
      <w:spacing w:val="5"/>
    </w:rPr>
  </w:style>
  <w:style w:type="character" w:customStyle="1" w:styleId="Internetlink">
    <w:name w:val="Internet link"/>
    <w:basedOn w:val="DefaultParagraphFont"/>
    <w:rsid w:val="00CA1345"/>
    <w:rPr>
      <w:color w:val="0000FF"/>
      <w:u w:val="single"/>
    </w:rPr>
  </w:style>
  <w:style w:type="character" w:styleId="LineNumber">
    <w:name w:val="line number"/>
    <w:basedOn w:val="DefaultParagraphFont"/>
    <w:uiPriority w:val="99"/>
    <w:unhideWhenUsed/>
    <w:rsid w:val="00CA1345"/>
  </w:style>
  <w:style w:type="paragraph" w:customStyle="1" w:styleId="Textbody">
    <w:name w:val="Text body"/>
    <w:basedOn w:val="Standard"/>
    <w:rsid w:val="00CA1345"/>
    <w:pPr>
      <w:spacing w:after="140" w:line="276" w:lineRule="auto"/>
    </w:pPr>
  </w:style>
  <w:style w:type="paragraph" w:styleId="List">
    <w:name w:val="List"/>
    <w:basedOn w:val="Textbody"/>
    <w:rsid w:val="00CA1345"/>
    <w:rPr>
      <w:sz w:val="24"/>
    </w:rPr>
  </w:style>
  <w:style w:type="numbering" w:customStyle="1" w:styleId="NoList1">
    <w:name w:val="No List_1"/>
    <w:basedOn w:val="NoList"/>
    <w:rsid w:val="00CA1345"/>
    <w:pPr>
      <w:numPr>
        <w:numId w:val="4"/>
      </w:numPr>
    </w:pPr>
  </w:style>
  <w:style w:type="paragraph" w:styleId="NoSpacing">
    <w:name w:val="No Spacing"/>
    <w:aliases w:val="Basic Style"/>
    <w:uiPriority w:val="1"/>
    <w:qFormat/>
    <w:rsid w:val="00CA1345"/>
    <w:pPr>
      <w:jc w:val="both"/>
    </w:pPr>
    <w:rPr>
      <w:rFonts w:eastAsia="Calibri"/>
      <w:sz w:val="26"/>
      <w:szCs w:val="24"/>
    </w:rPr>
  </w:style>
  <w:style w:type="character" w:styleId="PageNumber">
    <w:name w:val="page number"/>
    <w:basedOn w:val="DefaultParagraphFont"/>
    <w:uiPriority w:val="99"/>
    <w:semiHidden/>
    <w:unhideWhenUsed/>
    <w:rsid w:val="00CA1345"/>
  </w:style>
  <w:style w:type="paragraph" w:styleId="Quote">
    <w:name w:val="Quote"/>
    <w:basedOn w:val="Normal"/>
    <w:next w:val="Normal"/>
    <w:link w:val="QuoteChar"/>
    <w:uiPriority w:val="29"/>
    <w:qFormat/>
    <w:rsid w:val="00CA134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A1345"/>
    <w:rPr>
      <w:rFonts w:eastAsia="Calibri"/>
      <w:i/>
      <w:iCs/>
      <w:color w:val="404040" w:themeColor="text1" w:themeTint="BF"/>
      <w:kern w:val="2"/>
      <w:sz w:val="24"/>
      <w:szCs w:val="24"/>
      <w14:ligatures w14:val="standardContextual"/>
    </w:rPr>
  </w:style>
  <w:style w:type="paragraph" w:styleId="Revision">
    <w:name w:val="Revision"/>
    <w:rsid w:val="00CA1345"/>
    <w:pPr>
      <w:suppressAutoHyphens/>
      <w:autoSpaceDN w:val="0"/>
      <w:jc w:val="both"/>
      <w:textAlignment w:val="baseline"/>
    </w:pPr>
    <w:rPr>
      <w:sz w:val="26"/>
      <w:szCs w:val="22"/>
      <w:lang w:eastAsia="zh-CN" w:bidi="hi-IN"/>
    </w:rPr>
  </w:style>
  <w:style w:type="paragraph" w:styleId="Subtitle">
    <w:name w:val="Subtitle"/>
    <w:basedOn w:val="Normal"/>
    <w:next w:val="Standard"/>
    <w:link w:val="SubtitleChar"/>
    <w:uiPriority w:val="11"/>
    <w:qFormat/>
    <w:rsid w:val="00CA134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A1345"/>
    <w:rPr>
      <w:rFonts w:ascii="Georgia" w:eastAsia="Georgia" w:hAnsi="Georgia" w:cs="Georgia"/>
      <w:i/>
      <w:color w:val="666666"/>
      <w:kern w:val="2"/>
      <w:sz w:val="48"/>
      <w:szCs w:val="48"/>
      <w14:ligatures w14:val="standardContextual"/>
    </w:rPr>
  </w:style>
  <w:style w:type="character" w:styleId="SubtleReference">
    <w:name w:val="Subtle Reference"/>
    <w:basedOn w:val="DefaultParagraphFont"/>
    <w:uiPriority w:val="31"/>
    <w:rsid w:val="00CA1345"/>
    <w:rPr>
      <w:smallCaps/>
      <w:color w:val="5A5A5A" w:themeColor="text1" w:themeTint="A5"/>
    </w:rPr>
  </w:style>
  <w:style w:type="character" w:customStyle="1" w:styleId="TitleChar">
    <w:name w:val="Title Char"/>
    <w:basedOn w:val="DefaultParagraphFont"/>
    <w:link w:val="Title"/>
    <w:uiPriority w:val="10"/>
    <w:rsid w:val="00CA1345"/>
    <w:rPr>
      <w:rFonts w:eastAsia="Calibri" w:cstheme="majorBidi"/>
      <w:b/>
      <w:kern w:val="2"/>
      <w:sz w:val="72"/>
      <w:szCs w:val="72"/>
      <w14:ligatures w14:val="standardContextual"/>
    </w:rPr>
  </w:style>
  <w:style w:type="character" w:styleId="UnresolvedMention">
    <w:name w:val="Unresolved Mention"/>
    <w:basedOn w:val="DefaultParagraphFont"/>
    <w:uiPriority w:val="99"/>
    <w:semiHidden/>
    <w:unhideWhenUsed/>
    <w:rsid w:val="00CA1345"/>
    <w:rPr>
      <w:color w:val="605E5C"/>
      <w:shd w:val="clear" w:color="auto" w:fill="E1DFDD"/>
    </w:rPr>
  </w:style>
  <w:style w:type="numbering" w:customStyle="1" w:styleId="WWNum1">
    <w:name w:val="WWNum1"/>
    <w:basedOn w:val="NoList"/>
    <w:rsid w:val="00CA1345"/>
    <w:pPr>
      <w:numPr>
        <w:numId w:val="5"/>
      </w:numPr>
    </w:pPr>
  </w:style>
  <w:style w:type="numbering" w:customStyle="1" w:styleId="WWNum2">
    <w:name w:val="WWNum2"/>
    <w:basedOn w:val="NoList"/>
    <w:rsid w:val="00CA1345"/>
    <w:pPr>
      <w:numPr>
        <w:numId w:val="6"/>
      </w:numPr>
    </w:pPr>
  </w:style>
  <w:style w:type="numbering" w:customStyle="1" w:styleId="WWNum3">
    <w:name w:val="WWNum3"/>
    <w:basedOn w:val="NoList"/>
    <w:rsid w:val="00CA1345"/>
    <w:pPr>
      <w:numPr>
        <w:numId w:val="7"/>
      </w:numPr>
    </w:pPr>
  </w:style>
  <w:style w:type="numbering" w:customStyle="1" w:styleId="WWNum4">
    <w:name w:val="WWNum4"/>
    <w:basedOn w:val="NoList"/>
    <w:rsid w:val="00CA1345"/>
    <w:pPr>
      <w:numPr>
        <w:numId w:val="8"/>
      </w:numPr>
    </w:pPr>
  </w:style>
  <w:style w:type="numbering" w:customStyle="1" w:styleId="WWNum5">
    <w:name w:val="WWNum5"/>
    <w:basedOn w:val="NoList"/>
    <w:rsid w:val="00CA1345"/>
    <w:pPr>
      <w:numPr>
        <w:numId w:val="9"/>
      </w:numPr>
    </w:pPr>
  </w:style>
  <w:style w:type="numbering" w:customStyle="1" w:styleId="WWNum6">
    <w:name w:val="WWNum6"/>
    <w:basedOn w:val="NoList"/>
    <w:rsid w:val="00CA1345"/>
    <w:pPr>
      <w:numPr>
        <w:numId w:val="10"/>
      </w:numPr>
    </w:pPr>
  </w:style>
  <w:style w:type="numbering" w:customStyle="1" w:styleId="WWNum7">
    <w:name w:val="WWNum7"/>
    <w:basedOn w:val="NoList"/>
    <w:rsid w:val="00CA1345"/>
    <w:pPr>
      <w:numPr>
        <w:numId w:val="11"/>
      </w:numPr>
    </w:pPr>
  </w:style>
  <w:style w:type="numbering" w:customStyle="1" w:styleId="WWNum8">
    <w:name w:val="WWNum8"/>
    <w:basedOn w:val="NoList"/>
    <w:rsid w:val="00CA134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6772</Words>
  <Characters>38606</Characters>
  <Application>Microsoft Office Word</Application>
  <DocSecurity>4</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2026-08-20T20:20:00Z</dcterms:created>
  <dcterms:modified xsi:type="dcterms:W3CDTF">2026-08-20T20:20:00Z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f259773c-1321-4d3f-84d8-7a56bbb94c7e</vt:lpwstr>
  </property>
</Properties>
</file>