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3D7C0" w14:textId="77777777" w:rsidR="00F3099C" w:rsidRDefault="00F3099C" w:rsidP="00F3099C">
      <w:pPr>
        <w:spacing w:after="0"/>
        <w:jc w:val="center"/>
      </w:pPr>
    </w:p>
    <w:p w14:paraId="48830CCE" w14:textId="170AB7CD" w:rsidR="00F3099C" w:rsidRDefault="00F3099C" w:rsidP="00F3099C">
      <w:pPr>
        <w:spacing w:after="0"/>
        <w:jc w:val="center"/>
      </w:pPr>
      <w:r>
        <w:t>CASE #1 (9:30)</w:t>
      </w:r>
    </w:p>
    <w:p w14:paraId="194FCB93" w14:textId="77777777" w:rsidR="00F3099C" w:rsidRDefault="00F3099C" w:rsidP="00F3099C">
      <w:pPr>
        <w:spacing w:after="0"/>
        <w:jc w:val="center"/>
      </w:pPr>
    </w:p>
    <w:p w14:paraId="0E7FB8B0" w14:textId="6B8170F3" w:rsidR="000612D7" w:rsidRPr="000612D7" w:rsidRDefault="000612D7" w:rsidP="000612D7">
      <w:pPr>
        <w:spacing w:after="0"/>
        <w:jc w:val="center"/>
        <w:rPr>
          <w:b/>
          <w:bCs/>
        </w:rPr>
      </w:pPr>
      <w:r w:rsidRPr="000612D7">
        <w:rPr>
          <w:b/>
          <w:bCs/>
        </w:rPr>
        <w:t xml:space="preserve">Scott Patrick Werner and Kelly Lynn Werner Beck </w:t>
      </w:r>
      <w:r w:rsidRPr="000612D7">
        <w:rPr>
          <w:b/>
          <w:bCs/>
          <w:i/>
          <w:iCs/>
        </w:rPr>
        <w:t>personal representatives of</w:t>
      </w:r>
      <w:r w:rsidRPr="000612D7">
        <w:rPr>
          <w:b/>
          <w:bCs/>
        </w:rPr>
        <w:t xml:space="preserve"> The Estate of Dr. Stanley Werner,</w:t>
      </w:r>
    </w:p>
    <w:p w14:paraId="54DCE831" w14:textId="199A65D4" w:rsidR="000612D7" w:rsidRPr="000612D7" w:rsidRDefault="000612D7" w:rsidP="000612D7">
      <w:pPr>
        <w:spacing w:after="0"/>
        <w:jc w:val="center"/>
        <w:rPr>
          <w:b/>
          <w:bCs/>
        </w:rPr>
      </w:pPr>
      <w:r w:rsidRPr="000612D7">
        <w:rPr>
          <w:b/>
          <w:bCs/>
          <w:i/>
          <w:iCs/>
        </w:rPr>
        <w:t>Plaintiffs</w:t>
      </w:r>
      <w:r w:rsidR="006707F9">
        <w:rPr>
          <w:b/>
          <w:bCs/>
          <w:i/>
          <w:iCs/>
        </w:rPr>
        <w:t>/</w:t>
      </w:r>
      <w:r w:rsidRPr="000612D7">
        <w:rPr>
          <w:b/>
          <w:bCs/>
          <w:i/>
          <w:iCs/>
        </w:rPr>
        <w:t>Appellees</w:t>
      </w:r>
      <w:r w:rsidRPr="000612D7">
        <w:rPr>
          <w:b/>
          <w:bCs/>
        </w:rPr>
        <w:t>,</w:t>
      </w:r>
    </w:p>
    <w:p w14:paraId="39C478BE" w14:textId="77777777" w:rsidR="000612D7" w:rsidRPr="000612D7" w:rsidRDefault="000612D7" w:rsidP="000612D7">
      <w:pPr>
        <w:spacing w:after="0"/>
        <w:jc w:val="center"/>
        <w:rPr>
          <w:b/>
          <w:bCs/>
        </w:rPr>
      </w:pPr>
      <w:r w:rsidRPr="000612D7">
        <w:rPr>
          <w:b/>
          <w:bCs/>
        </w:rPr>
        <w:t>v.</w:t>
      </w:r>
    </w:p>
    <w:p w14:paraId="4158DBCD" w14:textId="124A494B" w:rsidR="000612D7" w:rsidRPr="000612D7" w:rsidRDefault="000612D7" w:rsidP="000612D7">
      <w:pPr>
        <w:spacing w:after="0"/>
        <w:jc w:val="center"/>
        <w:rPr>
          <w:b/>
          <w:bCs/>
        </w:rPr>
      </w:pPr>
      <w:r w:rsidRPr="000612D7">
        <w:rPr>
          <w:b/>
          <w:bCs/>
        </w:rPr>
        <w:t>De’Anthony Melton,</w:t>
      </w:r>
    </w:p>
    <w:p w14:paraId="21654F44" w14:textId="061DF5BC" w:rsidR="000612D7" w:rsidRDefault="000612D7" w:rsidP="00123057">
      <w:pPr>
        <w:spacing w:after="0"/>
        <w:jc w:val="center"/>
        <w:rPr>
          <w:b/>
          <w:bCs/>
          <w:i/>
          <w:iCs/>
        </w:rPr>
      </w:pPr>
      <w:r w:rsidRPr="000612D7">
        <w:rPr>
          <w:b/>
          <w:bCs/>
          <w:i/>
          <w:iCs/>
        </w:rPr>
        <w:t>Defendant</w:t>
      </w:r>
      <w:r w:rsidR="006707F9">
        <w:rPr>
          <w:b/>
          <w:bCs/>
          <w:i/>
          <w:iCs/>
        </w:rPr>
        <w:t>/</w:t>
      </w:r>
      <w:r w:rsidRPr="000612D7">
        <w:rPr>
          <w:b/>
          <w:bCs/>
          <w:i/>
          <w:iCs/>
        </w:rPr>
        <w:t>Appellant</w:t>
      </w:r>
    </w:p>
    <w:p w14:paraId="4E6DC21F" w14:textId="77777777" w:rsidR="000612D7" w:rsidRPr="000612D7" w:rsidRDefault="000612D7" w:rsidP="000612D7">
      <w:pPr>
        <w:spacing w:after="0"/>
        <w:rPr>
          <w:b/>
          <w:bCs/>
        </w:rPr>
      </w:pPr>
    </w:p>
    <w:p w14:paraId="7445257F" w14:textId="6A874D00" w:rsidR="002B292F" w:rsidRDefault="002B292F" w:rsidP="002B292F">
      <w:pPr>
        <w:spacing w:after="0"/>
        <w:jc w:val="both"/>
      </w:pPr>
      <w:r w:rsidRPr="002B292F">
        <w:t>This appeal arises from a negligence action stemming from an alleged dog bite, in which the trial court entered summary judgment in favor of Plaintiffs/Appellees for $758,325.72 based largely on deemed admissions</w:t>
      </w:r>
      <w:r w:rsidR="00171B9C">
        <w:t xml:space="preserve">. </w:t>
      </w:r>
      <w:r w:rsidR="003429ED">
        <w:t xml:space="preserve">Within a year after the summary judgment order was entered, </w:t>
      </w:r>
      <w:r w:rsidRPr="002B292F">
        <w:t>Defendant/Appellant De’Anthony Melton</w:t>
      </w:r>
      <w:r w:rsidR="003429ED">
        <w:t xml:space="preserve"> filed a motion to set aside the judgment </w:t>
      </w:r>
      <w:r w:rsidRPr="002B292F">
        <w:t>under Tennessee Rule of Civil Procedure 60.02</w:t>
      </w:r>
      <w:r w:rsidR="003429ED">
        <w:t xml:space="preserve">, claiming that he was not properly served </w:t>
      </w:r>
      <w:r w:rsidR="00ED5869">
        <w:t>and that the judgment was more than triple what the plaintiff requested in the complaint.  The trial court initially granted the motion</w:t>
      </w:r>
      <w:r w:rsidR="00D34BEF">
        <w:t xml:space="preserve"> to set aside</w:t>
      </w:r>
      <w:r w:rsidR="00ED5869">
        <w:t xml:space="preserve">, but </w:t>
      </w:r>
      <w:r w:rsidR="00CB4F42">
        <w:t xml:space="preserve">it </w:t>
      </w:r>
      <w:r w:rsidR="00ED5869">
        <w:t xml:space="preserve">later reconsidered and denied the motion.  </w:t>
      </w:r>
      <w:r w:rsidR="00A21BF6">
        <w:t>Defendant now appeals</w:t>
      </w:r>
      <w:r w:rsidR="00FD6E5D">
        <w:t xml:space="preserve">, arguing that the trial court erred in refusing to set aside the summary judgment, claiming that </w:t>
      </w:r>
      <w:r w:rsidRPr="002B292F">
        <w:t>service</w:t>
      </w:r>
      <w:r w:rsidR="004E524C">
        <w:t xml:space="preserve"> by publication</w:t>
      </w:r>
      <w:r w:rsidRPr="002B292F">
        <w:t xml:space="preserve"> was legally ineffective, rendering the judgment void under Rule 60.02(3)</w:t>
      </w:r>
      <w:r w:rsidR="004E524C">
        <w:t xml:space="preserve">.  Alternatively, he argues that the trial court erred in failing to set aside the judgment </w:t>
      </w:r>
      <w:r w:rsidRPr="002B292F">
        <w:t xml:space="preserve">under Rule 60.02(1), (2), and (5) based on timeliness, excessive damages, and a summary judgment functioning as a default judgment. The </w:t>
      </w:r>
      <w:r w:rsidR="003C0232">
        <w:t>Plaintiffs/</w:t>
      </w:r>
      <w:r w:rsidRPr="002B292F">
        <w:t>Appellees respond that Melton was properly served through household substitute and mail service, had actual notice of the judgment through garnishments, unreasonably delayed seeking relief, waived his damages objections, and failed to meet Rule 60.02’s standards. Melton seeks vacatur or remand, while Appellees seek affirmance.</w:t>
      </w:r>
    </w:p>
    <w:p w14:paraId="23F8A825" w14:textId="77777777" w:rsidR="002B7D8C" w:rsidRDefault="002B7D8C" w:rsidP="002B292F">
      <w:pPr>
        <w:spacing w:after="0"/>
        <w:jc w:val="both"/>
      </w:pPr>
    </w:p>
    <w:p w14:paraId="7F42B071" w14:textId="77777777" w:rsidR="00F3099C" w:rsidRDefault="00F3099C" w:rsidP="002B292F">
      <w:pPr>
        <w:spacing w:after="0"/>
        <w:jc w:val="both"/>
      </w:pPr>
    </w:p>
    <w:p w14:paraId="5C498702" w14:textId="77777777" w:rsidR="003C0232" w:rsidRDefault="003C0232" w:rsidP="002B292F">
      <w:pPr>
        <w:spacing w:after="0"/>
        <w:jc w:val="both"/>
      </w:pPr>
    </w:p>
    <w:p w14:paraId="5C2C7FBD" w14:textId="77777777" w:rsidR="003C0232" w:rsidRDefault="003C0232" w:rsidP="002B292F">
      <w:pPr>
        <w:spacing w:after="0"/>
        <w:jc w:val="both"/>
      </w:pPr>
    </w:p>
    <w:p w14:paraId="13718395" w14:textId="77777777" w:rsidR="003C0232" w:rsidRDefault="003C0232" w:rsidP="002B292F">
      <w:pPr>
        <w:spacing w:after="0"/>
        <w:jc w:val="both"/>
      </w:pPr>
    </w:p>
    <w:p w14:paraId="7B5F13B7" w14:textId="77777777" w:rsidR="003C0232" w:rsidRDefault="003C0232" w:rsidP="002B292F">
      <w:pPr>
        <w:spacing w:after="0"/>
        <w:jc w:val="both"/>
      </w:pPr>
    </w:p>
    <w:p w14:paraId="33B0BC27" w14:textId="77777777" w:rsidR="003C0232" w:rsidRDefault="003C0232" w:rsidP="002B292F">
      <w:pPr>
        <w:spacing w:after="0"/>
        <w:jc w:val="both"/>
      </w:pPr>
    </w:p>
    <w:p w14:paraId="07FF3081" w14:textId="77777777" w:rsidR="003C0232" w:rsidRDefault="003C0232" w:rsidP="002B292F">
      <w:pPr>
        <w:spacing w:after="0"/>
        <w:jc w:val="both"/>
      </w:pPr>
    </w:p>
    <w:p w14:paraId="3288EC7F" w14:textId="77777777" w:rsidR="003C0232" w:rsidRDefault="003C0232" w:rsidP="002B292F">
      <w:pPr>
        <w:spacing w:after="0"/>
        <w:jc w:val="both"/>
      </w:pPr>
    </w:p>
    <w:p w14:paraId="088B75C3" w14:textId="77777777" w:rsidR="003C0232" w:rsidRDefault="003C0232" w:rsidP="002B292F">
      <w:pPr>
        <w:spacing w:after="0"/>
        <w:jc w:val="both"/>
      </w:pPr>
    </w:p>
    <w:p w14:paraId="1EEA5DBE" w14:textId="3843111E" w:rsidR="00F3099C" w:rsidRDefault="00F3099C" w:rsidP="00F3099C">
      <w:pPr>
        <w:spacing w:after="0"/>
        <w:jc w:val="center"/>
      </w:pPr>
      <w:r>
        <w:lastRenderedPageBreak/>
        <w:t>CASE #2 (10:</w:t>
      </w:r>
      <w:r w:rsidR="006C4BBA">
        <w:t>15</w:t>
      </w:r>
      <w:r>
        <w:t>)</w:t>
      </w:r>
    </w:p>
    <w:p w14:paraId="201AF234" w14:textId="77777777" w:rsidR="00F3099C" w:rsidRDefault="00F3099C" w:rsidP="00F3099C">
      <w:pPr>
        <w:spacing w:after="0"/>
        <w:jc w:val="center"/>
      </w:pPr>
    </w:p>
    <w:p w14:paraId="44CA86DD" w14:textId="77777777" w:rsidR="00F3099C" w:rsidRPr="000612D7" w:rsidRDefault="00F3099C" w:rsidP="00F3099C">
      <w:pPr>
        <w:spacing w:after="0"/>
        <w:jc w:val="center"/>
        <w:rPr>
          <w:b/>
          <w:bCs/>
        </w:rPr>
      </w:pPr>
      <w:r>
        <w:rPr>
          <w:b/>
          <w:bCs/>
        </w:rPr>
        <w:t>Southern Auto Source Finance, LLC</w:t>
      </w:r>
    </w:p>
    <w:p w14:paraId="28A49B30" w14:textId="77777777" w:rsidR="00F3099C" w:rsidRPr="000612D7" w:rsidRDefault="00F3099C" w:rsidP="00F3099C">
      <w:pPr>
        <w:spacing w:after="0"/>
        <w:jc w:val="center"/>
        <w:rPr>
          <w:b/>
          <w:bCs/>
        </w:rPr>
      </w:pPr>
      <w:r w:rsidRPr="000612D7">
        <w:rPr>
          <w:b/>
          <w:bCs/>
          <w:i/>
          <w:iCs/>
        </w:rPr>
        <w:t>Petitioner/Appellant</w:t>
      </w:r>
      <w:r w:rsidRPr="000612D7">
        <w:rPr>
          <w:b/>
          <w:bCs/>
        </w:rPr>
        <w:t>,</w:t>
      </w:r>
    </w:p>
    <w:p w14:paraId="4DE23E2E" w14:textId="77777777" w:rsidR="00F3099C" w:rsidRPr="000612D7" w:rsidRDefault="00F3099C" w:rsidP="00F3099C">
      <w:pPr>
        <w:spacing w:after="0"/>
        <w:jc w:val="center"/>
        <w:rPr>
          <w:b/>
          <w:bCs/>
        </w:rPr>
      </w:pPr>
      <w:r w:rsidRPr="000612D7">
        <w:rPr>
          <w:b/>
          <w:bCs/>
        </w:rPr>
        <w:t>v.</w:t>
      </w:r>
    </w:p>
    <w:p w14:paraId="7B7837F5" w14:textId="77777777" w:rsidR="00F3099C" w:rsidRPr="000612D7" w:rsidRDefault="00F3099C" w:rsidP="00F3099C">
      <w:pPr>
        <w:spacing w:after="0"/>
        <w:jc w:val="center"/>
        <w:rPr>
          <w:b/>
          <w:bCs/>
        </w:rPr>
      </w:pPr>
      <w:r>
        <w:rPr>
          <w:b/>
          <w:bCs/>
        </w:rPr>
        <w:t>Airways Towing &amp; Recovery</w:t>
      </w:r>
    </w:p>
    <w:p w14:paraId="4E07BC9F" w14:textId="77777777" w:rsidR="00F3099C" w:rsidRDefault="00F3099C" w:rsidP="00F3099C">
      <w:pPr>
        <w:spacing w:after="0"/>
        <w:jc w:val="center"/>
        <w:rPr>
          <w:b/>
          <w:bCs/>
          <w:i/>
          <w:iCs/>
        </w:rPr>
      </w:pPr>
      <w:r w:rsidRPr="000612D7">
        <w:rPr>
          <w:b/>
          <w:bCs/>
          <w:i/>
          <w:iCs/>
        </w:rPr>
        <w:t>Respondent/Appellee</w:t>
      </w:r>
    </w:p>
    <w:p w14:paraId="19DBFB1A" w14:textId="77777777" w:rsidR="00F3099C" w:rsidRDefault="00F3099C" w:rsidP="00F3099C">
      <w:pPr>
        <w:spacing w:after="0"/>
        <w:rPr>
          <w:b/>
          <w:bCs/>
          <w:i/>
          <w:iCs/>
        </w:rPr>
      </w:pPr>
    </w:p>
    <w:p w14:paraId="5AA8F5CB" w14:textId="13013570" w:rsidR="00F3099C" w:rsidRDefault="00F3099C" w:rsidP="00F3099C">
      <w:pPr>
        <w:spacing w:after="0"/>
        <w:jc w:val="both"/>
      </w:pPr>
      <w:r w:rsidRPr="002B292F">
        <w:t xml:space="preserve">This Rule 10 extraordinary appeal arises from a General Sessions judgment entered on December 9, </w:t>
      </w:r>
      <w:proofErr w:type="gramStart"/>
      <w:r w:rsidRPr="002B292F">
        <w:t>2024</w:t>
      </w:r>
      <w:proofErr w:type="gramEnd"/>
      <w:r w:rsidRPr="002B292F">
        <w:t xml:space="preserve"> in favor of Southern Auto Source Finance, LLC awarding $31,999 in damages and attorney’s fees against</w:t>
      </w:r>
      <w:r w:rsidR="00440841">
        <w:t xml:space="preserve"> named </w:t>
      </w:r>
      <w:r w:rsidR="001823A7">
        <w:t>defendant, “</w:t>
      </w:r>
      <w:r w:rsidRPr="002B292F">
        <w:t>Airways Towing &amp; Recovery</w:t>
      </w:r>
      <w:r w:rsidR="00C040EC">
        <w:t>.</w:t>
      </w:r>
      <w:r w:rsidR="001823A7">
        <w:t>”</w:t>
      </w:r>
      <w:r w:rsidR="00C040EC">
        <w:t xml:space="preserve">  </w:t>
      </w:r>
      <w:r w:rsidR="00756F1E">
        <w:t>Airways Towing</w:t>
      </w:r>
      <w:r w:rsidR="00C320BF">
        <w:t xml:space="preserve">, through </w:t>
      </w:r>
      <w:r w:rsidR="001823A7">
        <w:t xml:space="preserve">owner and </w:t>
      </w:r>
      <w:r w:rsidR="00C320BF">
        <w:t>non-lawyer Timothy Gaston,</w:t>
      </w:r>
      <w:r w:rsidR="00756F1E">
        <w:t xml:space="preserve"> filed a </w:t>
      </w:r>
      <w:r w:rsidR="00365BA3">
        <w:t xml:space="preserve">notice of </w:t>
      </w:r>
      <w:r w:rsidRPr="002B292F">
        <w:t>appeal to Circuit Court</w:t>
      </w:r>
      <w:r w:rsidR="00365BA3">
        <w:t>.</w:t>
      </w:r>
      <w:r w:rsidR="00756F1E">
        <w:t xml:space="preserve"> </w:t>
      </w:r>
      <w:r w:rsidRPr="002B292F">
        <w:t>Southern Auto moved to dismiss the appeal, arguing the notice was a nullity</w:t>
      </w:r>
      <w:r w:rsidR="001823A7">
        <w:t xml:space="preserve">.  It </w:t>
      </w:r>
      <w:r w:rsidR="00F21673">
        <w:t>argued</w:t>
      </w:r>
      <w:r w:rsidR="001823A7">
        <w:t xml:space="preserve"> that the defendant in the General Sessions matter was “Airways Towing &amp; Recovery, LLC,” not the sole proprietorship “Airways Towing &amp; Recovery.”  Therefore, because Mr. </w:t>
      </w:r>
      <w:r w:rsidR="005C6608">
        <w:t xml:space="preserve">Gaston was a </w:t>
      </w:r>
      <w:r w:rsidRPr="002B292F">
        <w:t>non-party, non-attorney</w:t>
      </w:r>
      <w:r w:rsidR="005A6397">
        <w:t xml:space="preserve"> filing </w:t>
      </w:r>
      <w:r w:rsidRPr="002B292F">
        <w:t>on behalf of a Tennessee limited liability company, perfection of a General Sessions appeal</w:t>
      </w:r>
      <w:r w:rsidR="00533E5F">
        <w:t xml:space="preserve"> was defective</w:t>
      </w:r>
      <w:r w:rsidR="00FB0796">
        <w:t xml:space="preserve"> because the </w:t>
      </w:r>
      <w:r w:rsidR="00FB0796" w:rsidRPr="002B292F">
        <w:t>local rules require representation by counsel absent self-representation</w:t>
      </w:r>
      <w:r w:rsidR="00533E5F">
        <w:t>.  Because the notice</w:t>
      </w:r>
      <w:r w:rsidRPr="002B292F">
        <w:t xml:space="preserve"> is jurisdictional</w:t>
      </w:r>
      <w:r w:rsidR="00FB0796">
        <w:t>,</w:t>
      </w:r>
      <w:r w:rsidRPr="002B292F">
        <w:t xml:space="preserve"> </w:t>
      </w:r>
      <w:r w:rsidR="00533E5F">
        <w:t xml:space="preserve">the defect was </w:t>
      </w:r>
      <w:r w:rsidRPr="002B292F">
        <w:t xml:space="preserve">not </w:t>
      </w:r>
      <w:r w:rsidR="00533E5F">
        <w:t xml:space="preserve">an </w:t>
      </w:r>
      <w:r w:rsidRPr="002B292F">
        <w:t>excusable “informality</w:t>
      </w:r>
      <w:r w:rsidR="00FB0796">
        <w:t>.</w:t>
      </w:r>
      <w:r w:rsidRPr="002B292F">
        <w:t>”</w:t>
      </w:r>
      <w:r w:rsidR="00FB0796">
        <w:t xml:space="preserve">  </w:t>
      </w:r>
      <w:r w:rsidRPr="002B292F">
        <w:t>The Circuit Court denied dismissal, and this Court granted extraordinary review limited to whether that denial was error. Southern Auto contends the ruling constitutes</w:t>
      </w:r>
      <w:r w:rsidR="004F4F7B">
        <w:t xml:space="preserve"> </w:t>
      </w:r>
      <w:proofErr w:type="gramStart"/>
      <w:r w:rsidR="004F4F7B">
        <w:t>a</w:t>
      </w:r>
      <w:r w:rsidRPr="002B292F">
        <w:t xml:space="preserve"> </w:t>
      </w:r>
      <w:r w:rsidR="004F4F7B" w:rsidRPr="002B292F">
        <w:t>fundamental</w:t>
      </w:r>
      <w:proofErr w:type="gramEnd"/>
      <w:r w:rsidRPr="002B292F">
        <w:t xml:space="preserve"> illegality and a plain abuse of discretion. Airways Towing responds that </w:t>
      </w:r>
      <w:r w:rsidR="00A62D83">
        <w:t xml:space="preserve">the notice was proper and that he was permitted to file the notice </w:t>
      </w:r>
      <w:proofErr w:type="gramStart"/>
      <w:r w:rsidR="00A62D83" w:rsidRPr="00A62D83">
        <w:rPr>
          <w:i/>
          <w:iCs/>
        </w:rPr>
        <w:t>pro se</w:t>
      </w:r>
      <w:proofErr w:type="gramEnd"/>
      <w:r w:rsidR="00A62D83">
        <w:t xml:space="preserve"> on behalf of his proprietorship.  He points out that </w:t>
      </w:r>
      <w:r w:rsidRPr="002B292F">
        <w:t xml:space="preserve">Southern Auto never sued an LLC but instead sued “Airways Towing &amp; Recovery” </w:t>
      </w:r>
      <w:r w:rsidR="00A55966">
        <w:t>(</w:t>
      </w:r>
      <w:r w:rsidRPr="002B292F">
        <w:t>as a sole proprietorship</w:t>
      </w:r>
      <w:r w:rsidR="00A55966">
        <w:t xml:space="preserve">).  </w:t>
      </w:r>
      <w:r w:rsidR="00CB4F42">
        <w:t xml:space="preserve">He </w:t>
      </w:r>
      <w:r w:rsidRPr="002B292F">
        <w:t xml:space="preserve">argues </w:t>
      </w:r>
      <w:r w:rsidR="00CB4F42">
        <w:t xml:space="preserve">that </w:t>
      </w:r>
      <w:r w:rsidRPr="002B292F">
        <w:t xml:space="preserve">a sole proprietor may appear </w:t>
      </w:r>
      <w:r w:rsidRPr="00CB4F42">
        <w:rPr>
          <w:i/>
          <w:iCs/>
        </w:rPr>
        <w:t xml:space="preserve">pro se </w:t>
      </w:r>
      <w:r w:rsidRPr="002B292F">
        <w:t>and that any party-designation defect could have been cured under the Tennessee Rules of Civil Procedure on de novo appeal. Southern Auto seeks dismissal for lack of jurisdiction, while Airways Towing seeks affirmance.</w:t>
      </w:r>
    </w:p>
    <w:p w14:paraId="1BD59055" w14:textId="77777777" w:rsidR="00BC58AC" w:rsidRPr="002B292F" w:rsidRDefault="00BC58AC" w:rsidP="002B292F">
      <w:pPr>
        <w:spacing w:after="0"/>
        <w:jc w:val="both"/>
      </w:pPr>
    </w:p>
    <w:p w14:paraId="2FD65929" w14:textId="60BE1E04" w:rsidR="000612D7" w:rsidRDefault="000612D7" w:rsidP="002B292F">
      <w:pPr>
        <w:spacing w:after="0"/>
        <w:jc w:val="both"/>
      </w:pPr>
    </w:p>
    <w:p w14:paraId="2B4C4ACB" w14:textId="77777777" w:rsidR="003C0232" w:rsidRDefault="003C0232" w:rsidP="002B292F">
      <w:pPr>
        <w:spacing w:after="0"/>
        <w:jc w:val="both"/>
      </w:pPr>
    </w:p>
    <w:p w14:paraId="6BB02D89" w14:textId="77777777" w:rsidR="003C0232" w:rsidRDefault="003C0232" w:rsidP="002B292F">
      <w:pPr>
        <w:spacing w:after="0"/>
        <w:jc w:val="both"/>
      </w:pPr>
    </w:p>
    <w:p w14:paraId="1F80FE74" w14:textId="77777777" w:rsidR="003C0232" w:rsidRDefault="003C0232" w:rsidP="002B292F">
      <w:pPr>
        <w:spacing w:after="0"/>
        <w:jc w:val="both"/>
      </w:pPr>
    </w:p>
    <w:p w14:paraId="68F18C0E" w14:textId="77777777" w:rsidR="003C0232" w:rsidRDefault="003C0232" w:rsidP="002B292F">
      <w:pPr>
        <w:spacing w:after="0"/>
        <w:jc w:val="both"/>
      </w:pPr>
    </w:p>
    <w:p w14:paraId="59C8DB03" w14:textId="77777777" w:rsidR="003C0232" w:rsidRDefault="003C0232" w:rsidP="002B292F">
      <w:pPr>
        <w:spacing w:after="0"/>
        <w:jc w:val="both"/>
      </w:pPr>
    </w:p>
    <w:p w14:paraId="18818AAD" w14:textId="77777777" w:rsidR="003C0232" w:rsidRDefault="003C0232" w:rsidP="002B292F">
      <w:pPr>
        <w:spacing w:after="0"/>
        <w:jc w:val="both"/>
      </w:pPr>
    </w:p>
    <w:p w14:paraId="0A9E1A26" w14:textId="77777777" w:rsidR="003C0232" w:rsidRDefault="003C0232" w:rsidP="002B292F">
      <w:pPr>
        <w:spacing w:after="0"/>
        <w:jc w:val="both"/>
      </w:pPr>
    </w:p>
    <w:p w14:paraId="6D40157F" w14:textId="77777777" w:rsidR="003C0232" w:rsidRDefault="003C0232" w:rsidP="002B292F">
      <w:pPr>
        <w:spacing w:after="0"/>
        <w:jc w:val="both"/>
      </w:pPr>
    </w:p>
    <w:p w14:paraId="67C09F22" w14:textId="6C4DF8A8" w:rsidR="00BC58AC" w:rsidRDefault="00BC58AC" w:rsidP="00BC58AC">
      <w:pPr>
        <w:spacing w:after="0"/>
        <w:jc w:val="center"/>
        <w:rPr>
          <w:b/>
          <w:bCs/>
        </w:rPr>
      </w:pPr>
      <w:r>
        <w:rPr>
          <w:b/>
          <w:bCs/>
        </w:rPr>
        <w:t>CASE #3 (11:</w:t>
      </w:r>
      <w:r w:rsidR="006C4BBA">
        <w:rPr>
          <w:b/>
          <w:bCs/>
        </w:rPr>
        <w:t>00</w:t>
      </w:r>
      <w:r>
        <w:rPr>
          <w:b/>
          <w:bCs/>
        </w:rPr>
        <w:t xml:space="preserve"> a.m.)</w:t>
      </w:r>
    </w:p>
    <w:p w14:paraId="63A5C7EC" w14:textId="77777777" w:rsidR="00BC58AC" w:rsidRDefault="00BC58AC" w:rsidP="00BC58AC">
      <w:pPr>
        <w:spacing w:after="0"/>
        <w:jc w:val="center"/>
        <w:rPr>
          <w:b/>
          <w:bCs/>
        </w:rPr>
      </w:pPr>
    </w:p>
    <w:p w14:paraId="69F38A24" w14:textId="77777777" w:rsidR="00BC58AC" w:rsidRPr="000612D7" w:rsidRDefault="00BC58AC" w:rsidP="00BC58AC">
      <w:pPr>
        <w:spacing w:after="0"/>
        <w:jc w:val="center"/>
      </w:pPr>
      <w:r>
        <w:rPr>
          <w:b/>
          <w:bCs/>
        </w:rPr>
        <w:t>City of Memphis</w:t>
      </w:r>
      <w:r w:rsidRPr="000612D7">
        <w:rPr>
          <w:b/>
          <w:bCs/>
        </w:rPr>
        <w:t>,</w:t>
      </w:r>
    </w:p>
    <w:p w14:paraId="3F076603" w14:textId="77777777" w:rsidR="00BC58AC" w:rsidRPr="000612D7" w:rsidRDefault="00BC58AC" w:rsidP="00BC58AC">
      <w:pPr>
        <w:spacing w:after="0"/>
        <w:jc w:val="center"/>
      </w:pPr>
      <w:r w:rsidRPr="000612D7">
        <w:rPr>
          <w:b/>
          <w:bCs/>
          <w:i/>
          <w:iCs/>
        </w:rPr>
        <w:t>Petitioner/Appellant</w:t>
      </w:r>
      <w:r w:rsidRPr="000612D7">
        <w:rPr>
          <w:b/>
          <w:bCs/>
        </w:rPr>
        <w:t>,</w:t>
      </w:r>
    </w:p>
    <w:p w14:paraId="19E16040" w14:textId="77777777" w:rsidR="00BC58AC" w:rsidRPr="000612D7" w:rsidRDefault="00BC58AC" w:rsidP="00BC58AC">
      <w:pPr>
        <w:spacing w:after="0"/>
        <w:jc w:val="center"/>
      </w:pPr>
      <w:r w:rsidRPr="000612D7">
        <w:rPr>
          <w:b/>
          <w:bCs/>
        </w:rPr>
        <w:t>v.</w:t>
      </w:r>
    </w:p>
    <w:p w14:paraId="763644F3" w14:textId="77777777" w:rsidR="00BC58AC" w:rsidRPr="000612D7" w:rsidRDefault="00BC58AC" w:rsidP="00BC58AC">
      <w:pPr>
        <w:spacing w:after="0"/>
        <w:jc w:val="center"/>
      </w:pPr>
      <w:r w:rsidRPr="000612D7">
        <w:rPr>
          <w:b/>
          <w:bCs/>
        </w:rPr>
        <w:t>Memphis Police Association</w:t>
      </w:r>
    </w:p>
    <w:p w14:paraId="1B0005FB" w14:textId="77777777" w:rsidR="00BC58AC" w:rsidRPr="000612D7" w:rsidRDefault="00BC58AC" w:rsidP="00BC58AC">
      <w:pPr>
        <w:spacing w:after="0"/>
        <w:jc w:val="center"/>
      </w:pPr>
      <w:r w:rsidRPr="000612D7">
        <w:rPr>
          <w:b/>
          <w:bCs/>
          <w:i/>
          <w:iCs/>
        </w:rPr>
        <w:t>Respondent/Appellee</w:t>
      </w:r>
    </w:p>
    <w:p w14:paraId="6AF230A5" w14:textId="77777777" w:rsidR="00BC58AC" w:rsidRPr="000612D7" w:rsidRDefault="00BC58AC" w:rsidP="00BC58AC">
      <w:pPr>
        <w:spacing w:after="0"/>
        <w:jc w:val="center"/>
      </w:pPr>
      <w:r w:rsidRPr="000612D7">
        <w:rPr>
          <w:b/>
          <w:bCs/>
        </w:rPr>
        <w:t>v.</w:t>
      </w:r>
    </w:p>
    <w:p w14:paraId="68410833" w14:textId="77777777" w:rsidR="00BC58AC" w:rsidRPr="000612D7" w:rsidRDefault="00BC58AC" w:rsidP="00BC58AC">
      <w:pPr>
        <w:spacing w:after="0"/>
        <w:jc w:val="center"/>
      </w:pPr>
      <w:r w:rsidRPr="000612D7">
        <w:rPr>
          <w:b/>
          <w:bCs/>
        </w:rPr>
        <w:t>Fausto Frias, et al</w:t>
      </w:r>
    </w:p>
    <w:p w14:paraId="21E479DA" w14:textId="77777777" w:rsidR="00BC58AC" w:rsidRPr="000612D7" w:rsidRDefault="00BC58AC" w:rsidP="00BC58AC">
      <w:pPr>
        <w:spacing w:after="0"/>
        <w:jc w:val="center"/>
      </w:pPr>
      <w:r w:rsidRPr="000612D7">
        <w:rPr>
          <w:b/>
          <w:bCs/>
          <w:i/>
          <w:iCs/>
        </w:rPr>
        <w:t>Intervenors/Appellees</w:t>
      </w:r>
    </w:p>
    <w:p w14:paraId="55235432" w14:textId="77777777" w:rsidR="00BC58AC" w:rsidRDefault="00BC58AC" w:rsidP="00BC58AC">
      <w:pPr>
        <w:spacing w:after="0"/>
      </w:pPr>
    </w:p>
    <w:p w14:paraId="4761DE40" w14:textId="77777777" w:rsidR="00BC58AC" w:rsidRPr="00000C17" w:rsidRDefault="00BC58AC" w:rsidP="00BC58AC">
      <w:pPr>
        <w:spacing w:after="0"/>
        <w:jc w:val="both"/>
      </w:pPr>
      <w:r w:rsidRPr="00000C17">
        <w:t xml:space="preserve">This appeal arises from a dispute between the City of Memphis and the Memphis Police Association (“MPA”) over the City’s creation of a new “Second Lieutenant” position within the Memphis Police Department. </w:t>
      </w:r>
      <w:r>
        <w:t>Th</w:t>
      </w:r>
      <w:r w:rsidRPr="00000C17">
        <w:t xml:space="preserve">e MPA filed a grievance, </w:t>
      </w:r>
      <w:r>
        <w:t>and the matter went to arbitration.  The arbitrator held in favor of the MPA, concluding that the C</w:t>
      </w:r>
      <w:r w:rsidRPr="00000C17">
        <w:t>ity violated the parties’ Memorandum of Understanding (“MOU”) by unilaterally changing the rank structure and promotion process</w:t>
      </w:r>
      <w:r>
        <w:t>. It</w:t>
      </w:r>
      <w:r w:rsidRPr="00000C17">
        <w:t xml:space="preserve"> ordered elimination of the </w:t>
      </w:r>
      <w:r>
        <w:t xml:space="preserve">new </w:t>
      </w:r>
      <w:r w:rsidRPr="00000C17">
        <w:t xml:space="preserve">position, demotion of </w:t>
      </w:r>
      <w:r>
        <w:t xml:space="preserve">the </w:t>
      </w:r>
      <w:r w:rsidRPr="00000C17">
        <w:t xml:space="preserve">promoted officers, and </w:t>
      </w:r>
      <w:r>
        <w:t xml:space="preserve">the formation of </w:t>
      </w:r>
      <w:r w:rsidRPr="00000C17">
        <w:t xml:space="preserve">a “Promotional Committee.” The City petitioned </w:t>
      </w:r>
      <w:r>
        <w:t xml:space="preserve">the trial court </w:t>
      </w:r>
      <w:r w:rsidRPr="00000C17">
        <w:t xml:space="preserve">to vacate the award, arguing </w:t>
      </w:r>
      <w:r>
        <w:t xml:space="preserve">that </w:t>
      </w:r>
      <w:r w:rsidRPr="00000C17">
        <w:t>the arbitrator exceeded his authority by rewriting the MOU, nullifying the City’s management rights under Article 10, and imposing remedies not authorized by the agreement</w:t>
      </w:r>
      <w:r>
        <w:t xml:space="preserve">.  Meanwhile, over 70 police officers sought to intervene in the action in support of the arbitrator’s award.  The trial court affirmed the award, and the City now appeals.  It </w:t>
      </w:r>
      <w:r w:rsidRPr="00000C17">
        <w:t>challenges the trial court’s denial of vacatur, the order allowing individual officers to intervene, and seeks a new trial based on the trial judge’s post-judgment recusal. The MPA responds that judicial review of arbitration awards is extremely limited, that the arbitrator acted within his authority by interpreting Article 18 and Exhibit A, properly found a contractual violation, and imposed a permissible status quo ante remedy, and that neither intervention nor recusal warrants reversal. The Intervenor–Appellees likewise argue the arbitrator acted within the authority submitted to arbitration, that the promotional committee remedy enforced existing contract language, that the City’s challenge to the intervention order is time-barred, and that the record does not support a claim of judicial bias.</w:t>
      </w:r>
    </w:p>
    <w:p w14:paraId="7DEF7DF8" w14:textId="77777777" w:rsidR="00BC58AC" w:rsidRDefault="00BC58AC" w:rsidP="002B292F">
      <w:pPr>
        <w:spacing w:after="0"/>
        <w:jc w:val="both"/>
      </w:pPr>
    </w:p>
    <w:sectPr w:rsidR="00BC58AC" w:rsidSect="00B368AD">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F026A" w14:textId="77777777" w:rsidR="00A5485E" w:rsidRDefault="00A5485E" w:rsidP="00123057">
      <w:pPr>
        <w:spacing w:after="0" w:line="240" w:lineRule="auto"/>
      </w:pPr>
      <w:r>
        <w:separator/>
      </w:r>
    </w:p>
  </w:endnote>
  <w:endnote w:type="continuationSeparator" w:id="0">
    <w:p w14:paraId="79B619B7" w14:textId="77777777" w:rsidR="00A5485E" w:rsidRDefault="00A5485E" w:rsidP="00123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Schoolbook">
    <w:panose1 w:val="0204060405050502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73883893"/>
      <w:docPartObj>
        <w:docPartGallery w:val="Page Numbers (Bottom of Page)"/>
        <w:docPartUnique/>
      </w:docPartObj>
    </w:sdtPr>
    <w:sdtContent>
      <w:p w14:paraId="59B068D8" w14:textId="75165AB7" w:rsidR="00123057" w:rsidRDefault="00123057" w:rsidP="00C3236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D8D883E" w14:textId="77777777" w:rsidR="00123057" w:rsidRDefault="001230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84833565"/>
      <w:docPartObj>
        <w:docPartGallery w:val="Page Numbers (Bottom of Page)"/>
        <w:docPartUnique/>
      </w:docPartObj>
    </w:sdtPr>
    <w:sdtContent>
      <w:p w14:paraId="48A3B708" w14:textId="3296EAEC" w:rsidR="00123057" w:rsidRDefault="00123057" w:rsidP="00C3236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A076468" w14:textId="77777777" w:rsidR="00123057" w:rsidRDefault="001230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22C7E" w14:textId="77777777" w:rsidR="00A5485E" w:rsidRDefault="00A5485E" w:rsidP="00123057">
      <w:pPr>
        <w:spacing w:after="0" w:line="240" w:lineRule="auto"/>
      </w:pPr>
      <w:r>
        <w:separator/>
      </w:r>
    </w:p>
  </w:footnote>
  <w:footnote w:type="continuationSeparator" w:id="0">
    <w:p w14:paraId="5028EBB1" w14:textId="77777777" w:rsidR="00A5485E" w:rsidRDefault="00A5485E" w:rsidP="001230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617"/>
    <w:rsid w:val="00000C17"/>
    <w:rsid w:val="000321E2"/>
    <w:rsid w:val="00037E3E"/>
    <w:rsid w:val="00037FF8"/>
    <w:rsid w:val="00043F31"/>
    <w:rsid w:val="000612D7"/>
    <w:rsid w:val="00123057"/>
    <w:rsid w:val="00166A1F"/>
    <w:rsid w:val="00171B9C"/>
    <w:rsid w:val="001823A7"/>
    <w:rsid w:val="001C3414"/>
    <w:rsid w:val="00201122"/>
    <w:rsid w:val="00214CD5"/>
    <w:rsid w:val="00272DD7"/>
    <w:rsid w:val="002B292F"/>
    <w:rsid w:val="002B7D8C"/>
    <w:rsid w:val="003429ED"/>
    <w:rsid w:val="00365BA3"/>
    <w:rsid w:val="003B2524"/>
    <w:rsid w:val="003C0232"/>
    <w:rsid w:val="003D69CB"/>
    <w:rsid w:val="00414A9D"/>
    <w:rsid w:val="00425FFB"/>
    <w:rsid w:val="00440841"/>
    <w:rsid w:val="004E524C"/>
    <w:rsid w:val="004F4F7B"/>
    <w:rsid w:val="00533E5F"/>
    <w:rsid w:val="00580043"/>
    <w:rsid w:val="005A6397"/>
    <w:rsid w:val="005C6608"/>
    <w:rsid w:val="006707F9"/>
    <w:rsid w:val="00684581"/>
    <w:rsid w:val="006C4BBA"/>
    <w:rsid w:val="00756F1E"/>
    <w:rsid w:val="00787F56"/>
    <w:rsid w:val="009D4617"/>
    <w:rsid w:val="009E38F1"/>
    <w:rsid w:val="00A21BF6"/>
    <w:rsid w:val="00A22EDD"/>
    <w:rsid w:val="00A5485E"/>
    <w:rsid w:val="00A55966"/>
    <w:rsid w:val="00A62D83"/>
    <w:rsid w:val="00B31119"/>
    <w:rsid w:val="00B368AD"/>
    <w:rsid w:val="00BC58AC"/>
    <w:rsid w:val="00BE4239"/>
    <w:rsid w:val="00BE5E3A"/>
    <w:rsid w:val="00C040EC"/>
    <w:rsid w:val="00C320BF"/>
    <w:rsid w:val="00C475CD"/>
    <w:rsid w:val="00CB4F42"/>
    <w:rsid w:val="00CF3EF1"/>
    <w:rsid w:val="00D34BEF"/>
    <w:rsid w:val="00D92EFA"/>
    <w:rsid w:val="00E24B09"/>
    <w:rsid w:val="00E33B98"/>
    <w:rsid w:val="00E533E5"/>
    <w:rsid w:val="00E61206"/>
    <w:rsid w:val="00E63E5D"/>
    <w:rsid w:val="00EA507A"/>
    <w:rsid w:val="00ED5869"/>
    <w:rsid w:val="00F21673"/>
    <w:rsid w:val="00F3099C"/>
    <w:rsid w:val="00F36EB4"/>
    <w:rsid w:val="00FB0796"/>
    <w:rsid w:val="00FC7C58"/>
    <w:rsid w:val="00FD6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B6B1C"/>
  <w15:chartTrackingRefBased/>
  <w15:docId w15:val="{C7E9FFCE-0A30-E34B-A164-B8B3D76AD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Schoolbook" w:eastAsiaTheme="minorHAnsi" w:hAnsi="Century Schoolbook" w:cs="Times New Roman (Body CS)"/>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46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46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461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461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D461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D461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D461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D461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D461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46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46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461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461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D461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D461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D461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D461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D461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D46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46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461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461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D4617"/>
    <w:pPr>
      <w:spacing w:before="160"/>
      <w:jc w:val="center"/>
    </w:pPr>
    <w:rPr>
      <w:i/>
      <w:iCs/>
      <w:color w:val="404040" w:themeColor="text1" w:themeTint="BF"/>
    </w:rPr>
  </w:style>
  <w:style w:type="character" w:customStyle="1" w:styleId="QuoteChar">
    <w:name w:val="Quote Char"/>
    <w:basedOn w:val="DefaultParagraphFont"/>
    <w:link w:val="Quote"/>
    <w:uiPriority w:val="29"/>
    <w:rsid w:val="009D4617"/>
    <w:rPr>
      <w:i/>
      <w:iCs/>
      <w:color w:val="404040" w:themeColor="text1" w:themeTint="BF"/>
    </w:rPr>
  </w:style>
  <w:style w:type="paragraph" w:styleId="ListParagraph">
    <w:name w:val="List Paragraph"/>
    <w:basedOn w:val="Normal"/>
    <w:uiPriority w:val="34"/>
    <w:qFormat/>
    <w:rsid w:val="009D4617"/>
    <w:pPr>
      <w:ind w:left="720"/>
      <w:contextualSpacing/>
    </w:pPr>
  </w:style>
  <w:style w:type="character" w:styleId="IntenseEmphasis">
    <w:name w:val="Intense Emphasis"/>
    <w:basedOn w:val="DefaultParagraphFont"/>
    <w:uiPriority w:val="21"/>
    <w:qFormat/>
    <w:rsid w:val="009D4617"/>
    <w:rPr>
      <w:i/>
      <w:iCs/>
      <w:color w:val="0F4761" w:themeColor="accent1" w:themeShade="BF"/>
    </w:rPr>
  </w:style>
  <w:style w:type="paragraph" w:styleId="IntenseQuote">
    <w:name w:val="Intense Quote"/>
    <w:basedOn w:val="Normal"/>
    <w:next w:val="Normal"/>
    <w:link w:val="IntenseQuoteChar"/>
    <w:uiPriority w:val="30"/>
    <w:qFormat/>
    <w:rsid w:val="009D46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4617"/>
    <w:rPr>
      <w:i/>
      <w:iCs/>
      <w:color w:val="0F4761" w:themeColor="accent1" w:themeShade="BF"/>
    </w:rPr>
  </w:style>
  <w:style w:type="character" w:styleId="IntenseReference">
    <w:name w:val="Intense Reference"/>
    <w:basedOn w:val="DefaultParagraphFont"/>
    <w:uiPriority w:val="32"/>
    <w:qFormat/>
    <w:rsid w:val="009D4617"/>
    <w:rPr>
      <w:b/>
      <w:bCs/>
      <w:smallCaps/>
      <w:color w:val="0F4761" w:themeColor="accent1" w:themeShade="BF"/>
      <w:spacing w:val="5"/>
    </w:rPr>
  </w:style>
  <w:style w:type="paragraph" w:styleId="Footer">
    <w:name w:val="footer"/>
    <w:basedOn w:val="Normal"/>
    <w:link w:val="FooterChar"/>
    <w:uiPriority w:val="99"/>
    <w:unhideWhenUsed/>
    <w:rsid w:val="001230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057"/>
  </w:style>
  <w:style w:type="character" w:styleId="PageNumber">
    <w:name w:val="page number"/>
    <w:basedOn w:val="DefaultParagraphFont"/>
    <w:uiPriority w:val="99"/>
    <w:semiHidden/>
    <w:unhideWhenUsed/>
    <w:rsid w:val="001230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805</Words>
  <Characters>4578</Characters>
  <Application>Microsoft Office Word</Application>
  <DocSecurity>0</DocSecurity>
  <Lines>111</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Polisano, Hailey T</dc:creator>
  <cp:keywords/>
  <dc:description/>
  <cp:lastModifiedBy>Allonya Dorris Payne (adpayne)</cp:lastModifiedBy>
  <cp:revision>3</cp:revision>
  <dcterms:created xsi:type="dcterms:W3CDTF">2026-01-16T14:09:00Z</dcterms:created>
  <dcterms:modified xsi:type="dcterms:W3CDTF">2026-01-16T14:09:00Z</dcterms:modified>
</cp:coreProperties>
</file>